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35" w:rsidRPr="00C83835" w:rsidRDefault="00545A61" w:rsidP="00C83835">
      <w:pPr>
        <w:spacing w:line="360" w:lineRule="auto"/>
        <w:rPr>
          <w:rFonts w:cs="Times New Roman"/>
          <w:szCs w:val="24"/>
        </w:rPr>
      </w:pPr>
      <w:r>
        <w:rPr>
          <w:rFonts w:cs="Times New Roman"/>
          <w:szCs w:val="24"/>
        </w:rPr>
        <w:t>That</w:t>
      </w:r>
      <w:r>
        <w:rPr>
          <w:rFonts w:cs="Times New Roman"/>
          <w:szCs w:val="24"/>
        </w:rPr>
        <w:tab/>
        <w:t>W</w:t>
      </w:r>
      <w:r w:rsidR="00C83835" w:rsidRPr="00C83835">
        <w:rPr>
          <w:rFonts w:cs="Times New Roman"/>
          <w:szCs w:val="24"/>
        </w:rPr>
        <w:t>HEREAS, Vermont's downtowns and villages have served as the social and economic centers of our communities for generations and they play a key role in a region's economy; and</w:t>
      </w:r>
    </w:p>
    <w:p w:rsidR="00C83835" w:rsidRPr="00C83835" w:rsidRDefault="00C83835" w:rsidP="00C83835">
      <w:pPr>
        <w:spacing w:line="360" w:lineRule="auto"/>
        <w:ind w:firstLine="720"/>
        <w:rPr>
          <w:rFonts w:cs="Times New Roman"/>
          <w:szCs w:val="24"/>
        </w:rPr>
      </w:pPr>
      <w:r w:rsidRPr="00C83835">
        <w:rPr>
          <w:rFonts w:cs="Times New Roman"/>
          <w:szCs w:val="24"/>
        </w:rPr>
        <w:t xml:space="preserve">WHEREAS, </w:t>
      </w:r>
      <w:r w:rsidR="004D0AE2">
        <w:rPr>
          <w:rFonts w:cs="Times New Roman"/>
          <w:szCs w:val="24"/>
        </w:rPr>
        <w:t>a</w:t>
      </w:r>
      <w:r w:rsidRPr="00C83835">
        <w:rPr>
          <w:rFonts w:cs="Times New Roman"/>
          <w:szCs w:val="24"/>
        </w:rPr>
        <w:t xml:space="preserve">lmost one fifth of Vermont's economic activity and jobs are based in our downtowns; and </w:t>
      </w:r>
    </w:p>
    <w:p w:rsidR="00C83835" w:rsidRPr="00C83835" w:rsidRDefault="00C83835" w:rsidP="0015562D">
      <w:pPr>
        <w:spacing w:line="360" w:lineRule="auto"/>
        <w:ind w:firstLine="720"/>
        <w:rPr>
          <w:rFonts w:cs="Times New Roman"/>
          <w:szCs w:val="24"/>
        </w:rPr>
      </w:pPr>
      <w:r w:rsidRPr="00C83835">
        <w:rPr>
          <w:rFonts w:cs="Times New Roman"/>
          <w:szCs w:val="24"/>
        </w:rPr>
        <w:t xml:space="preserve">WHEREAS, recent decades have brought tremendous economic, technological and social changes, often with adverse effects on our downtowns along with the national trend of disinvestments in downtowns; and </w:t>
      </w:r>
    </w:p>
    <w:p w:rsidR="00C83835" w:rsidRPr="00C83835" w:rsidRDefault="00C83835" w:rsidP="00C83835">
      <w:pPr>
        <w:spacing w:line="360" w:lineRule="auto"/>
        <w:ind w:firstLine="720"/>
        <w:rPr>
          <w:rFonts w:cs="Times New Roman"/>
          <w:szCs w:val="24"/>
        </w:rPr>
      </w:pPr>
      <w:r w:rsidRPr="00C83835">
        <w:rPr>
          <w:rFonts w:cs="Times New Roman"/>
          <w:szCs w:val="24"/>
        </w:rPr>
        <w:t xml:space="preserve">WHEREAS, in 1999,  the State of Vermont’s Agency of Commerce &amp; Community Development created the Downtown Program to bring tax credits, grants, training and technical services to "designated" downtown organizations in order to preserve and revitalize historic downtowns and create strong communities; and  </w:t>
      </w:r>
    </w:p>
    <w:p w:rsidR="00C83835" w:rsidRPr="00C83835" w:rsidRDefault="00C83835" w:rsidP="00C83835">
      <w:pPr>
        <w:spacing w:line="360" w:lineRule="auto"/>
        <w:ind w:firstLine="720"/>
        <w:rPr>
          <w:rFonts w:cs="Times New Roman"/>
          <w:szCs w:val="24"/>
        </w:rPr>
      </w:pPr>
      <w:r w:rsidRPr="00C83835">
        <w:rPr>
          <w:rFonts w:cs="Times New Roman"/>
          <w:szCs w:val="24"/>
        </w:rPr>
        <w:t>WHEREAS, Burlington was one of the first municipalities in the state to receive downtown designation from the Downtown Program; and</w:t>
      </w:r>
    </w:p>
    <w:p w:rsidR="00C83835" w:rsidRPr="00C83835" w:rsidRDefault="00C83835" w:rsidP="00C83835">
      <w:pPr>
        <w:tabs>
          <w:tab w:val="left" w:pos="720"/>
          <w:tab w:val="right" w:pos="5040"/>
        </w:tabs>
        <w:spacing w:line="360" w:lineRule="auto"/>
        <w:rPr>
          <w:rFonts w:cs="Times New Roman"/>
          <w:szCs w:val="24"/>
        </w:rPr>
      </w:pPr>
      <w:r w:rsidRPr="00C83835">
        <w:rPr>
          <w:rFonts w:cs="Times New Roman"/>
          <w:szCs w:val="24"/>
        </w:rPr>
        <w:tab/>
        <w:t xml:space="preserve">WHEREAS, the City of Burlington, through the Office of the Mayor, the Church Street Marketplace </w:t>
      </w:r>
      <w:r w:rsidR="004D0AE2">
        <w:rPr>
          <w:rFonts w:cs="Times New Roman"/>
          <w:szCs w:val="24"/>
        </w:rPr>
        <w:t xml:space="preserve">District </w:t>
      </w:r>
      <w:r w:rsidRPr="00C83835">
        <w:rPr>
          <w:rFonts w:cs="Times New Roman"/>
          <w:szCs w:val="24"/>
        </w:rPr>
        <w:t>Commission, the Community and Economic Development Office, Burlington City Arts, the Department of Parks and Recreation, the Department of Public Works and the Department of Planning and Zoning in conjunction with the Burlington Business Association, seek to undertake a program of reinvestment in the City's downtown along with supporting additional housing in the surrounding area; and</w:t>
      </w:r>
    </w:p>
    <w:p w:rsidR="00C83835" w:rsidRPr="00C83835" w:rsidRDefault="00C83835" w:rsidP="00C83835">
      <w:pPr>
        <w:spacing w:line="360" w:lineRule="auto"/>
        <w:ind w:firstLine="720"/>
        <w:rPr>
          <w:rFonts w:cs="Times New Roman"/>
          <w:szCs w:val="24"/>
        </w:rPr>
      </w:pPr>
      <w:r w:rsidRPr="00C83835">
        <w:rPr>
          <w:rFonts w:cs="Times New Roman"/>
          <w:szCs w:val="24"/>
        </w:rPr>
        <w:t>WHEREAS, this must involve a long-term commitment to enhancing economic opportunities, preserving historic buildings, and improving public spaces and infrastructure in the commercial district along with adjacent development of additional housing ensuring the vitality of Burlington’s downtown; and</w:t>
      </w:r>
    </w:p>
    <w:p w:rsidR="00C83835" w:rsidRPr="00C83835" w:rsidRDefault="00C83835" w:rsidP="00C83835">
      <w:pPr>
        <w:spacing w:line="360" w:lineRule="auto"/>
        <w:ind w:firstLine="720"/>
        <w:rPr>
          <w:rFonts w:cs="Times New Roman"/>
          <w:szCs w:val="24"/>
        </w:rPr>
      </w:pPr>
      <w:r w:rsidRPr="00C83835">
        <w:rPr>
          <w:rFonts w:cs="Times New Roman"/>
          <w:szCs w:val="24"/>
        </w:rPr>
        <w:t>WHEREAS, PlanBTV indicated a desire for additional density within our designated downtown and particularly for additional housing opportunities within the immediately adjacent areas; and</w:t>
      </w:r>
    </w:p>
    <w:p w:rsidR="00C83835" w:rsidRPr="00C83835" w:rsidRDefault="00C83835" w:rsidP="00C83835">
      <w:pPr>
        <w:spacing w:line="360" w:lineRule="auto"/>
        <w:ind w:firstLine="720"/>
        <w:rPr>
          <w:rFonts w:cs="Times New Roman"/>
          <w:szCs w:val="24"/>
        </w:rPr>
      </w:pPr>
      <w:r w:rsidRPr="00C83835">
        <w:rPr>
          <w:rFonts w:cs="Times New Roman"/>
          <w:szCs w:val="24"/>
        </w:rPr>
        <w:t>WHEREAS, the Vermont Legislature has created a Neighborhood Development Area designation, to encourage municipalities and developers to plan for new and infill housing in the area within walking distance of a designated downtown; and</w:t>
      </w:r>
    </w:p>
    <w:p w:rsidR="00C83835" w:rsidRPr="00C83835" w:rsidRDefault="00C83835" w:rsidP="00C83835">
      <w:pPr>
        <w:spacing w:line="360" w:lineRule="auto"/>
        <w:ind w:firstLine="720"/>
        <w:rPr>
          <w:rFonts w:cs="Times New Roman"/>
          <w:szCs w:val="24"/>
        </w:rPr>
      </w:pPr>
      <w:r w:rsidRPr="00C83835">
        <w:rPr>
          <w:rFonts w:cs="Times New Roman"/>
          <w:szCs w:val="24"/>
        </w:rPr>
        <w:t>WHEREAS, incentives currently offered include</w:t>
      </w:r>
      <w:r w:rsidR="00B733D4">
        <w:rPr>
          <w:rFonts w:cs="Times New Roman"/>
          <w:szCs w:val="24"/>
        </w:rPr>
        <w:t xml:space="preserve"> that</w:t>
      </w:r>
      <w:r w:rsidRPr="00C83835">
        <w:rPr>
          <w:rFonts w:cs="Times New Roman"/>
          <w:szCs w:val="24"/>
        </w:rPr>
        <w:t xml:space="preserve">: </w:t>
      </w:r>
    </w:p>
    <w:p w:rsidR="00C83835" w:rsidRPr="00C83835" w:rsidRDefault="00C83835" w:rsidP="00C83835">
      <w:pPr>
        <w:widowControl w:val="0"/>
        <w:numPr>
          <w:ilvl w:val="0"/>
          <w:numId w:val="11"/>
        </w:numPr>
        <w:autoSpaceDE w:val="0"/>
        <w:autoSpaceDN w:val="0"/>
        <w:adjustRightInd w:val="0"/>
        <w:rPr>
          <w:rFonts w:cs="Times New Roman"/>
          <w:szCs w:val="24"/>
        </w:rPr>
      </w:pPr>
      <w:r w:rsidRPr="00C83835">
        <w:rPr>
          <w:rFonts w:cs="Times New Roman"/>
          <w:szCs w:val="24"/>
        </w:rPr>
        <w:t>qualified “mixed income” projects are exempt from Act 250 regulations;</w:t>
      </w:r>
    </w:p>
    <w:p w:rsidR="00C83835" w:rsidRPr="00C83835" w:rsidRDefault="00C83835" w:rsidP="00C83835">
      <w:pPr>
        <w:widowControl w:val="0"/>
        <w:numPr>
          <w:ilvl w:val="0"/>
          <w:numId w:val="11"/>
        </w:numPr>
        <w:autoSpaceDE w:val="0"/>
        <w:autoSpaceDN w:val="0"/>
        <w:adjustRightInd w:val="0"/>
        <w:rPr>
          <w:rFonts w:cs="Times New Roman"/>
          <w:szCs w:val="24"/>
        </w:rPr>
      </w:pPr>
      <w:r w:rsidRPr="00C83835">
        <w:rPr>
          <w:rFonts w:cs="Times New Roman"/>
          <w:szCs w:val="24"/>
        </w:rPr>
        <w:t>Act 250 projects not qualifying for the exemption receive a 50% discount on application fees;</w:t>
      </w:r>
    </w:p>
    <w:p w:rsidR="00C83835" w:rsidRPr="00C83835" w:rsidRDefault="00C83835" w:rsidP="00C83835">
      <w:pPr>
        <w:widowControl w:val="0"/>
        <w:numPr>
          <w:ilvl w:val="0"/>
          <w:numId w:val="11"/>
        </w:numPr>
        <w:autoSpaceDE w:val="0"/>
        <w:autoSpaceDN w:val="0"/>
        <w:adjustRightInd w:val="0"/>
        <w:rPr>
          <w:rFonts w:cs="Times New Roman"/>
          <w:szCs w:val="24"/>
        </w:rPr>
      </w:pPr>
      <w:r w:rsidRPr="00C83835">
        <w:rPr>
          <w:rFonts w:cs="Times New Roman"/>
          <w:szCs w:val="24"/>
        </w:rPr>
        <w:t>Agency of Natural resources fees for wastewater review are capped at $50.00 for projects that have received sewer allocation from an approved municipal system;</w:t>
      </w:r>
    </w:p>
    <w:p w:rsidR="00C83835" w:rsidRPr="00C83835" w:rsidRDefault="00B733D4" w:rsidP="00C83835">
      <w:pPr>
        <w:widowControl w:val="0"/>
        <w:numPr>
          <w:ilvl w:val="0"/>
          <w:numId w:val="11"/>
        </w:numPr>
        <w:autoSpaceDE w:val="0"/>
        <w:autoSpaceDN w:val="0"/>
        <w:adjustRightInd w:val="0"/>
        <w:rPr>
          <w:rFonts w:cs="Times New Roman"/>
          <w:szCs w:val="24"/>
        </w:rPr>
      </w:pPr>
      <w:r>
        <w:rPr>
          <w:rFonts w:cs="Times New Roman"/>
          <w:szCs w:val="24"/>
        </w:rPr>
        <w:t>There be an e</w:t>
      </w:r>
      <w:r w:rsidR="00C83835" w:rsidRPr="00C83835">
        <w:rPr>
          <w:rFonts w:cs="Times New Roman"/>
          <w:szCs w:val="24"/>
        </w:rPr>
        <w:t>x</w:t>
      </w:r>
      <w:r>
        <w:rPr>
          <w:rFonts w:cs="Times New Roman"/>
          <w:szCs w:val="24"/>
        </w:rPr>
        <w:t>emption from the land gains tax</w:t>
      </w:r>
      <w:r w:rsidR="00B571B5">
        <w:rPr>
          <w:rFonts w:cs="Times New Roman"/>
          <w:szCs w:val="24"/>
        </w:rPr>
        <w:t xml:space="preserve">; </w:t>
      </w:r>
    </w:p>
    <w:p w:rsidR="00C83835" w:rsidRPr="00C83835" w:rsidRDefault="00C83835" w:rsidP="00C83835">
      <w:pPr>
        <w:widowControl w:val="0"/>
        <w:numPr>
          <w:ilvl w:val="0"/>
          <w:numId w:val="11"/>
        </w:numPr>
        <w:autoSpaceDE w:val="0"/>
        <w:autoSpaceDN w:val="0"/>
        <w:adjustRightInd w:val="0"/>
        <w:rPr>
          <w:rFonts w:cs="Times New Roman"/>
          <w:szCs w:val="24"/>
        </w:rPr>
      </w:pPr>
      <w:r w:rsidRPr="00C83835">
        <w:rPr>
          <w:rFonts w:cs="Times New Roman"/>
          <w:szCs w:val="24"/>
        </w:rPr>
        <w:t xml:space="preserve">State funding </w:t>
      </w:r>
      <w:r w:rsidR="00B733D4">
        <w:rPr>
          <w:rFonts w:cs="Times New Roman"/>
          <w:szCs w:val="24"/>
        </w:rPr>
        <w:t xml:space="preserve">be a </w:t>
      </w:r>
      <w:r w:rsidRPr="00C83835">
        <w:rPr>
          <w:rFonts w:cs="Times New Roman"/>
          <w:szCs w:val="24"/>
        </w:rPr>
        <w:t>priority for a variety of programs; and</w:t>
      </w:r>
    </w:p>
    <w:p w:rsidR="00C83835" w:rsidRPr="00C83835" w:rsidRDefault="00C83835" w:rsidP="00C83835">
      <w:pPr>
        <w:spacing w:line="360" w:lineRule="auto"/>
        <w:rPr>
          <w:rFonts w:cs="Times New Roman"/>
          <w:szCs w:val="24"/>
        </w:rPr>
      </w:pPr>
      <w:r w:rsidRPr="00C83835">
        <w:rPr>
          <w:rFonts w:cs="Times New Roman"/>
          <w:szCs w:val="24"/>
        </w:rPr>
        <w:tab/>
      </w:r>
    </w:p>
    <w:p w:rsidR="00C83835" w:rsidRPr="00C83835" w:rsidRDefault="00C83835" w:rsidP="00C83835">
      <w:pPr>
        <w:spacing w:line="360" w:lineRule="auto"/>
        <w:ind w:firstLine="720"/>
        <w:rPr>
          <w:rFonts w:cs="Times New Roman"/>
          <w:szCs w:val="24"/>
        </w:rPr>
      </w:pPr>
      <w:r w:rsidRPr="00C83835">
        <w:rPr>
          <w:rFonts w:cs="Times New Roman"/>
          <w:szCs w:val="24"/>
        </w:rPr>
        <w:t>WHEREAS, the City of Burlington desires to seek a Neighborhood Development Area designation for the area on the attached map to encourage new and infill housing within walking distance of the downtown; and</w:t>
      </w:r>
    </w:p>
    <w:p w:rsidR="00C83835" w:rsidRPr="00C83835" w:rsidRDefault="00C83835" w:rsidP="00C83835">
      <w:pPr>
        <w:spacing w:line="360" w:lineRule="auto"/>
        <w:ind w:firstLine="720"/>
        <w:rPr>
          <w:rFonts w:cs="Times New Roman"/>
          <w:szCs w:val="24"/>
        </w:rPr>
      </w:pPr>
      <w:r w:rsidRPr="00C83835">
        <w:rPr>
          <w:rFonts w:cs="Times New Roman"/>
          <w:szCs w:val="24"/>
        </w:rPr>
        <w:t>W</w:t>
      </w:r>
      <w:r>
        <w:rPr>
          <w:rFonts w:cs="Times New Roman"/>
          <w:szCs w:val="24"/>
        </w:rPr>
        <w:t>HEREAS</w:t>
      </w:r>
      <w:r w:rsidRPr="00C83835">
        <w:rPr>
          <w:rFonts w:cs="Times New Roman"/>
          <w:szCs w:val="24"/>
        </w:rPr>
        <w:t xml:space="preserve">, the proposed Neighborhood Development Area designation does not change or override the Burlington Comprehensive Development Ordinance or the process by which development in Burlington is reviewed or approved by the City; and </w:t>
      </w:r>
    </w:p>
    <w:p w:rsidR="00C83835" w:rsidRPr="00C83835" w:rsidRDefault="00C83835" w:rsidP="00C83835">
      <w:pPr>
        <w:spacing w:line="360" w:lineRule="auto"/>
        <w:rPr>
          <w:rFonts w:cs="Times New Roman"/>
          <w:szCs w:val="24"/>
        </w:rPr>
      </w:pPr>
      <w:r w:rsidRPr="00C83835">
        <w:rPr>
          <w:rFonts w:cs="Times New Roman"/>
          <w:szCs w:val="24"/>
        </w:rPr>
        <w:tab/>
        <w:t>WHEREAS, both the City Council Community Development &amp; Neighborhood Revitalization Committee and the Planning Commission have endorsed the Neighborhood Development Area as proposed on the attached map;</w:t>
      </w:r>
    </w:p>
    <w:p w:rsidR="00C83835" w:rsidRDefault="00C83835" w:rsidP="00C83835">
      <w:pPr>
        <w:spacing w:line="360" w:lineRule="auto"/>
        <w:ind w:firstLine="720"/>
        <w:rPr>
          <w:rFonts w:cs="Times New Roman"/>
          <w:szCs w:val="24"/>
        </w:rPr>
      </w:pPr>
      <w:r w:rsidRPr="00C83835">
        <w:rPr>
          <w:rFonts w:cs="Times New Roman"/>
          <w:szCs w:val="24"/>
        </w:rPr>
        <w:t xml:space="preserve">NOW, THEREFORE, BE IT RESOLVED </w:t>
      </w:r>
      <w:r w:rsidR="005D42BE">
        <w:rPr>
          <w:rFonts w:cs="Times New Roman"/>
          <w:szCs w:val="24"/>
        </w:rPr>
        <w:t xml:space="preserve">that </w:t>
      </w:r>
      <w:r w:rsidRPr="00C83835">
        <w:rPr>
          <w:rFonts w:cs="Times New Roman"/>
          <w:szCs w:val="24"/>
        </w:rPr>
        <w:t xml:space="preserve">the City Council authorizes the Mayor, through the Planning and Zoning Office in conjunction with the Community </w:t>
      </w:r>
      <w:r w:rsidR="00B668A0">
        <w:rPr>
          <w:rFonts w:cs="Times New Roman"/>
          <w:szCs w:val="24"/>
        </w:rPr>
        <w:t>and</w:t>
      </w:r>
      <w:bookmarkStart w:id="0" w:name="_GoBack"/>
      <w:bookmarkEnd w:id="0"/>
      <w:r w:rsidRPr="00C83835">
        <w:rPr>
          <w:rFonts w:cs="Times New Roman"/>
          <w:szCs w:val="24"/>
        </w:rPr>
        <w:t xml:space="preserve"> Economic Development Office, to submit an application for the new Neighborhood Development Area designation that encourages municipalities and/or developers to plan for new and infill housing in the area within walking distance of its designated downtown, village center, new town center, or within its designated growth center and incentivizes needed housing, further supporting the commercial establishments in the designated centers. </w:t>
      </w:r>
    </w:p>
    <w:p w:rsidR="00C2239F" w:rsidRDefault="00C2239F" w:rsidP="00C83835">
      <w:pPr>
        <w:spacing w:line="360" w:lineRule="auto"/>
        <w:ind w:firstLine="720"/>
        <w:rPr>
          <w:rFonts w:cs="Times New Roman"/>
          <w:szCs w:val="24"/>
        </w:rPr>
      </w:pPr>
    </w:p>
    <w:p w:rsidR="008D0B73" w:rsidRPr="006214F3" w:rsidRDefault="008D0B73" w:rsidP="00C2239F">
      <w:pPr>
        <w:rPr>
          <w:rFonts w:cs="Times New Roman"/>
          <w:sz w:val="18"/>
          <w:szCs w:val="18"/>
        </w:rPr>
      </w:pPr>
      <w:r>
        <w:rPr>
          <w:rFonts w:cs="Times New Roman"/>
          <w:sz w:val="18"/>
          <w:szCs w:val="18"/>
        </w:rPr>
        <w:t>lb/RWH</w:t>
      </w:r>
      <w:r w:rsidRPr="006214F3">
        <w:rPr>
          <w:rFonts w:cs="Times New Roman"/>
          <w:sz w:val="18"/>
          <w:szCs w:val="18"/>
        </w:rPr>
        <w:t>/Resolutions 2014/</w:t>
      </w:r>
      <w:r>
        <w:rPr>
          <w:rFonts w:cs="Times New Roman"/>
          <w:sz w:val="18"/>
          <w:szCs w:val="18"/>
        </w:rPr>
        <w:t>CEDO, P&amp;Z – Submit Application for Neighborhood Development Area Designation (reinvest in downtown &amp; add housing)</w:t>
      </w:r>
    </w:p>
    <w:p w:rsidR="00456E92" w:rsidRPr="006214F3" w:rsidRDefault="001C6333" w:rsidP="00C2239F">
      <w:pPr>
        <w:rPr>
          <w:rFonts w:cs="Times New Roman"/>
          <w:szCs w:val="24"/>
        </w:rPr>
      </w:pPr>
      <w:r>
        <w:rPr>
          <w:rFonts w:cs="Times New Roman"/>
          <w:sz w:val="18"/>
          <w:szCs w:val="18"/>
        </w:rPr>
        <w:t>3/5/14</w:t>
      </w:r>
    </w:p>
    <w:sectPr w:rsidR="00456E92" w:rsidRPr="006214F3" w:rsidSect="000731DA">
      <w:headerReference w:type="default" r:id="rId8"/>
      <w:headerReference w:type="first" r:id="rId9"/>
      <w:pgSz w:w="12240" w:h="15840"/>
      <w:pgMar w:top="317" w:right="864" w:bottom="864"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04" w:rsidRDefault="00E17704" w:rsidP="00541786">
      <w:r>
        <w:separator/>
      </w:r>
    </w:p>
  </w:endnote>
  <w:endnote w:type="continuationSeparator" w:id="0">
    <w:p w:rsidR="00E17704" w:rsidRDefault="00E17704"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04" w:rsidRDefault="00E17704" w:rsidP="00541786">
      <w:r>
        <w:separator/>
      </w:r>
    </w:p>
  </w:footnote>
  <w:footnote w:type="continuationSeparator" w:id="0">
    <w:p w:rsidR="00E17704" w:rsidRDefault="00E17704" w:rsidP="0054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04" w:rsidRPr="000910F6" w:rsidRDefault="00E17704"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B668A0">
      <w:rPr>
        <w:b/>
        <w:noProof/>
      </w:rPr>
      <w:t>2</w:t>
    </w:r>
    <w:r w:rsidRPr="000910F6">
      <w:rPr>
        <w:b/>
        <w:noProof/>
      </w:rPr>
      <w:fldChar w:fldCharType="end"/>
    </w:r>
  </w:p>
  <w:p w:rsidR="00E17704" w:rsidRDefault="00E17704" w:rsidP="00993321">
    <w:pPr>
      <w:pStyle w:val="Header"/>
      <w:tabs>
        <w:tab w:val="clear" w:pos="4680"/>
        <w:tab w:val="clear" w:pos="9360"/>
      </w:tabs>
    </w:pPr>
    <w:r w:rsidRPr="000910F6">
      <w:rPr>
        <w:b/>
      </w:rPr>
      <w:t>Resolution Relating to</w:t>
    </w:r>
    <w:r>
      <w:rPr>
        <w:b/>
      </w:rPr>
      <w:tab/>
    </w:r>
    <w:r>
      <w:t xml:space="preserve"> NEIGHBORHOOD DEVELOPMENT AREA</w:t>
    </w:r>
  </w:p>
  <w:p w:rsidR="00E17704" w:rsidRPr="00001838" w:rsidRDefault="00E17704" w:rsidP="00993321">
    <w:pPr>
      <w:pStyle w:val="Header"/>
      <w:tabs>
        <w:tab w:val="clear" w:pos="4680"/>
        <w:tab w:val="clear" w:pos="9360"/>
      </w:tabs>
    </w:pPr>
    <w:r>
      <w:tab/>
    </w:r>
    <w:r>
      <w:tab/>
    </w:r>
    <w:r>
      <w:tab/>
    </w:r>
    <w:r>
      <w:tab/>
    </w:r>
  </w:p>
  <w:p w:rsidR="00E17704" w:rsidRPr="000910F6" w:rsidRDefault="00E17704" w:rsidP="000910F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04" w:rsidRDefault="00E17704" w:rsidP="000910F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w:t>
    </w:r>
  </w:p>
  <w:p w:rsidR="00E17704" w:rsidRPr="00CE7A71" w:rsidRDefault="00E17704" w:rsidP="00170D26">
    <w:pPr>
      <w:pStyle w:val="Header"/>
      <w:tabs>
        <w:tab w:val="clear" w:pos="4680"/>
        <w:tab w:val="clear" w:pos="9360"/>
      </w:tabs>
      <w:ind w:left="2160" w:firstLine="5040"/>
      <w:rPr>
        <w:sz w:val="22"/>
        <w:szCs w:val="22"/>
      </w:rPr>
    </w:pPr>
    <w:r w:rsidRPr="00CE7A71">
      <w:rPr>
        <w:sz w:val="22"/>
        <w:szCs w:val="22"/>
      </w:rPr>
      <w:t>Sponsor(s):</w:t>
    </w:r>
    <w:r>
      <w:rPr>
        <w:sz w:val="22"/>
        <w:szCs w:val="22"/>
      </w:rPr>
      <w:t xml:space="preserve"> Councilors Aubin,                 Knodell, Worden: Community Development ^&amp; Neighborhood Revitalization Committee</w:t>
    </w:r>
  </w:p>
  <w:p w:rsidR="00E17704" w:rsidRPr="00CE7A71" w:rsidRDefault="00E17704" w:rsidP="000910F6">
    <w:pPr>
      <w:pStyle w:val="Header"/>
      <w:tabs>
        <w:tab w:val="clear" w:pos="4680"/>
        <w:tab w:val="clear"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Introduced:</w:t>
    </w:r>
    <w:r>
      <w:rPr>
        <w:sz w:val="22"/>
        <w:szCs w:val="22"/>
      </w:rPr>
      <w:t xml:space="preserve"> _________________</w:t>
    </w:r>
  </w:p>
  <w:p w:rsidR="00E17704" w:rsidRPr="00CE7A71" w:rsidRDefault="00E17704" w:rsidP="000910F6">
    <w:pPr>
      <w:pStyle w:val="Header"/>
      <w:tabs>
        <w:tab w:val="clear" w:pos="4680"/>
        <w:tab w:val="clear" w:pos="9360"/>
      </w:tabs>
      <w:rPr>
        <w:sz w:val="22"/>
        <w:szCs w:val="22"/>
      </w:rPr>
    </w:pPr>
    <w:r>
      <w:rPr>
        <w:szCs w:val="24"/>
      </w:rPr>
      <w:t>NEIGHBORHOOD DEVELOPMENT AREA</w:t>
    </w:r>
    <w:r w:rsidRPr="00CE7A71">
      <w:rPr>
        <w:sz w:val="22"/>
        <w:szCs w:val="22"/>
      </w:rPr>
      <w:tab/>
    </w:r>
    <w:r w:rsidRPr="00CE7A71">
      <w:rPr>
        <w:sz w:val="22"/>
        <w:szCs w:val="22"/>
      </w:rPr>
      <w:tab/>
    </w:r>
    <w:r w:rsidRPr="00CE7A71">
      <w:rPr>
        <w:sz w:val="22"/>
        <w:szCs w:val="22"/>
      </w:rPr>
      <w:tab/>
    </w:r>
    <w:r w:rsidRPr="00CE7A71">
      <w:rPr>
        <w:sz w:val="22"/>
        <w:szCs w:val="22"/>
      </w:rPr>
      <w:tab/>
      <w:t>Referred to: _______________</w:t>
    </w:r>
    <w:r>
      <w:rPr>
        <w:sz w:val="22"/>
        <w:szCs w:val="22"/>
      </w:rPr>
      <w:t>__</w:t>
    </w:r>
  </w:p>
  <w:p w:rsidR="00E17704" w:rsidRPr="00CE7A71" w:rsidRDefault="00E1770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_________________________</w:t>
    </w:r>
    <w:r>
      <w:rPr>
        <w:sz w:val="22"/>
        <w:szCs w:val="22"/>
      </w:rPr>
      <w:t>__</w:t>
    </w:r>
  </w:p>
  <w:p w:rsidR="00E17704" w:rsidRPr="00CE7A71" w:rsidRDefault="00E1770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Action:___________________</w:t>
    </w:r>
    <w:r>
      <w:rPr>
        <w:sz w:val="22"/>
        <w:szCs w:val="22"/>
      </w:rPr>
      <w:t>__</w:t>
    </w:r>
  </w:p>
  <w:p w:rsidR="00E17704" w:rsidRPr="00CE7A71" w:rsidRDefault="00E1770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Date:____________________</w:t>
    </w:r>
    <w:r>
      <w:rPr>
        <w:sz w:val="22"/>
        <w:szCs w:val="22"/>
      </w:rPr>
      <w:t>___</w:t>
    </w:r>
  </w:p>
  <w:p w:rsidR="00E17704" w:rsidRDefault="00E17704"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Signed by Mayor:__________</w:t>
    </w:r>
    <w:r>
      <w:rPr>
        <w:sz w:val="22"/>
        <w:szCs w:val="22"/>
      </w:rPr>
      <w:t>___</w:t>
    </w:r>
  </w:p>
  <w:p w:rsidR="00E17704" w:rsidRDefault="00E17704" w:rsidP="000910F6">
    <w:pPr>
      <w:pStyle w:val="Header"/>
      <w:tabs>
        <w:tab w:val="clear" w:pos="4680"/>
        <w:tab w:val="clear" w:pos="9360"/>
      </w:tabs>
      <w:rPr>
        <w:sz w:val="22"/>
        <w:szCs w:val="22"/>
      </w:rPr>
    </w:pPr>
  </w:p>
  <w:p w:rsidR="00E17704" w:rsidRDefault="00E17704" w:rsidP="000910F6">
    <w:pPr>
      <w:pStyle w:val="Header"/>
      <w:tabs>
        <w:tab w:val="clear" w:pos="4680"/>
        <w:tab w:val="clear" w:pos="9360"/>
      </w:tabs>
      <w:ind w:left="2880" w:firstLine="720"/>
      <w:rPr>
        <w:b/>
        <w:sz w:val="28"/>
        <w:szCs w:val="28"/>
      </w:rPr>
    </w:pPr>
    <w:r w:rsidRPr="00614D9F">
      <w:rPr>
        <w:b/>
        <w:sz w:val="28"/>
        <w:szCs w:val="28"/>
      </w:rPr>
      <w:t>CITY OF BURLINGTON</w:t>
    </w:r>
  </w:p>
  <w:p w:rsidR="00E17704" w:rsidRDefault="00E17704" w:rsidP="000910F6">
    <w:pPr>
      <w:pStyle w:val="Header"/>
      <w:tabs>
        <w:tab w:val="clear" w:pos="4680"/>
        <w:tab w:val="clear" w:pos="9360"/>
      </w:tabs>
      <w:spacing w:line="360" w:lineRule="auto"/>
      <w:rPr>
        <w:szCs w:val="24"/>
      </w:rPr>
    </w:pPr>
    <w:r w:rsidRPr="00AD069E">
      <w:rPr>
        <w:szCs w:val="24"/>
      </w:rPr>
      <w:t xml:space="preserve">In the year Two Thousand Fourteen </w:t>
    </w:r>
    <w:r>
      <w:rPr>
        <w:szCs w:val="24"/>
      </w:rPr>
      <w:t>………………………………………………………………………</w:t>
    </w:r>
  </w:p>
  <w:p w:rsidR="00E17704" w:rsidRDefault="00E17704" w:rsidP="000910F6">
    <w:pPr>
      <w:pStyle w:val="Header"/>
      <w:tabs>
        <w:tab w:val="clear" w:pos="4680"/>
        <w:tab w:val="clear" w:pos="9360"/>
      </w:tabs>
      <w:spacing w:line="360" w:lineRule="auto"/>
      <w:rPr>
        <w:szCs w:val="24"/>
      </w:rPr>
    </w:pPr>
    <w:r>
      <w:rPr>
        <w:szCs w:val="24"/>
      </w:rPr>
      <w:t>Resolved by the City Council of the City of Burlington, as follows:</w:t>
    </w:r>
  </w:p>
  <w:p w:rsidR="00E17704" w:rsidRDefault="00E17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43B0"/>
    <w:multiLevelType w:val="hybridMultilevel"/>
    <w:tmpl w:val="D30E46B0"/>
    <w:lvl w:ilvl="0" w:tplc="A0E85894">
      <w:start w:val="3"/>
      <w:numFmt w:val="bullet"/>
      <w:lvlText w:val=""/>
      <w:lvlJc w:val="left"/>
      <w:pPr>
        <w:ind w:left="1080" w:hanging="360"/>
      </w:pPr>
      <w:rPr>
        <w:rFonts w:ascii="Wingdings" w:eastAsia="Arial Unicode M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B"/>
    <w:rsid w:val="00001838"/>
    <w:rsid w:val="0005102A"/>
    <w:rsid w:val="000731DA"/>
    <w:rsid w:val="000910F6"/>
    <w:rsid w:val="000E1D38"/>
    <w:rsid w:val="0015562D"/>
    <w:rsid w:val="00170D26"/>
    <w:rsid w:val="001C6333"/>
    <w:rsid w:val="00216A98"/>
    <w:rsid w:val="002554B3"/>
    <w:rsid w:val="00301023"/>
    <w:rsid w:val="00305DB1"/>
    <w:rsid w:val="00371DFD"/>
    <w:rsid w:val="003B266B"/>
    <w:rsid w:val="00404BE3"/>
    <w:rsid w:val="00456E92"/>
    <w:rsid w:val="004D0AE2"/>
    <w:rsid w:val="00541786"/>
    <w:rsid w:val="00545A61"/>
    <w:rsid w:val="005A7B46"/>
    <w:rsid w:val="005D42BE"/>
    <w:rsid w:val="00614D9F"/>
    <w:rsid w:val="006214F3"/>
    <w:rsid w:val="00654C78"/>
    <w:rsid w:val="00795139"/>
    <w:rsid w:val="00797716"/>
    <w:rsid w:val="008800C6"/>
    <w:rsid w:val="008A6C7E"/>
    <w:rsid w:val="008B5CF2"/>
    <w:rsid w:val="008D0B73"/>
    <w:rsid w:val="008E409B"/>
    <w:rsid w:val="00993321"/>
    <w:rsid w:val="00A556C8"/>
    <w:rsid w:val="00AB35EF"/>
    <w:rsid w:val="00AC586E"/>
    <w:rsid w:val="00AD069E"/>
    <w:rsid w:val="00B5132A"/>
    <w:rsid w:val="00B571B5"/>
    <w:rsid w:val="00B668A0"/>
    <w:rsid w:val="00B733D4"/>
    <w:rsid w:val="00C03AE9"/>
    <w:rsid w:val="00C12B64"/>
    <w:rsid w:val="00C2239F"/>
    <w:rsid w:val="00C81C09"/>
    <w:rsid w:val="00C83835"/>
    <w:rsid w:val="00CE7A71"/>
    <w:rsid w:val="00D25B7D"/>
    <w:rsid w:val="00D51EF0"/>
    <w:rsid w:val="00D56B18"/>
    <w:rsid w:val="00D61767"/>
    <w:rsid w:val="00E17704"/>
    <w:rsid w:val="00E23EBB"/>
    <w:rsid w:val="00EA7964"/>
    <w:rsid w:val="00F00947"/>
    <w:rsid w:val="00F25DE0"/>
    <w:rsid w:val="00F5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 w:type="paragraph" w:styleId="NormalWeb">
    <w:name w:val="Normal (Web)"/>
    <w:basedOn w:val="Normal"/>
    <w:uiPriority w:val="99"/>
    <w:rsid w:val="006214F3"/>
    <w:pPr>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E1770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17704"/>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 w:type="paragraph" w:styleId="NormalWeb">
    <w:name w:val="Normal (Web)"/>
    <w:basedOn w:val="Normal"/>
    <w:uiPriority w:val="99"/>
    <w:rsid w:val="006214F3"/>
    <w:pPr>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E1770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17704"/>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232">
      <w:bodyDiv w:val="1"/>
      <w:marLeft w:val="0"/>
      <w:marRight w:val="0"/>
      <w:marTop w:val="0"/>
      <w:marBottom w:val="0"/>
      <w:divBdr>
        <w:top w:val="none" w:sz="0" w:space="0" w:color="auto"/>
        <w:left w:val="none" w:sz="0" w:space="0" w:color="auto"/>
        <w:bottom w:val="none" w:sz="0" w:space="0" w:color="auto"/>
        <w:right w:val="none" w:sz="0" w:space="0" w:color="auto"/>
      </w:divBdr>
    </w:div>
    <w:div w:id="789084105">
      <w:bodyDiv w:val="1"/>
      <w:marLeft w:val="0"/>
      <w:marRight w:val="0"/>
      <w:marTop w:val="0"/>
      <w:marBottom w:val="0"/>
      <w:divBdr>
        <w:top w:val="none" w:sz="0" w:space="0" w:color="auto"/>
        <w:left w:val="none" w:sz="0" w:space="0" w:color="auto"/>
        <w:bottom w:val="none" w:sz="0" w:space="0" w:color="auto"/>
        <w:right w:val="none" w:sz="0" w:space="0" w:color="auto"/>
      </w:divBdr>
    </w:div>
    <w:div w:id="11716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2014-03-05T20:35:00Z</cp:lastPrinted>
  <dcterms:created xsi:type="dcterms:W3CDTF">2014-02-28T17:59:00Z</dcterms:created>
  <dcterms:modified xsi:type="dcterms:W3CDTF">2014-03-05T20:43:00Z</dcterms:modified>
</cp:coreProperties>
</file>