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5" w:rsidRDefault="00493510">
      <w:pPr>
        <w:ind w:left="-90"/>
      </w:pPr>
      <w:r>
        <w:rPr>
          <w:noProof/>
        </w:rPr>
        <w:drawing>
          <wp:inline distT="0" distB="0" distL="0" distR="0">
            <wp:extent cx="1476375" cy="981075"/>
            <wp:effectExtent l="0" t="0" r="9525" b="9525"/>
            <wp:docPr id="1" name="Picture 1" descr="DPW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254C35" w:rsidRDefault="00254C35"/>
    <w:p w:rsidR="00E37A96" w:rsidRPr="00C76187" w:rsidRDefault="00493510" w:rsidP="00E37A96">
      <w:pPr>
        <w:jc w:val="right"/>
        <w:rPr>
          <w:rFonts w:ascii="BankGothic Lt BT" w:hAnsi="BankGothic Lt BT"/>
        </w:rPr>
      </w:pPr>
      <w:r>
        <w:rPr>
          <w:noProof/>
        </w:rPr>
        <mc:AlternateContent>
          <mc:Choice Requires="wps">
            <w:drawing>
              <wp:anchor distT="0" distB="0" distL="114300" distR="114300" simplePos="0" relativeHeight="251657728" behindDoc="0" locked="0" layoutInCell="0" allowOverlap="1">
                <wp:simplePos x="0" y="0"/>
                <wp:positionH relativeFrom="column">
                  <wp:posOffset>29845</wp:posOffset>
                </wp:positionH>
                <wp:positionV relativeFrom="paragraph">
                  <wp:posOffset>108585</wp:posOffset>
                </wp:positionV>
                <wp:extent cx="128016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11" w:rsidRDefault="00453111">
                            <w:pPr>
                              <w:spacing w:line="360" w:lineRule="auto"/>
                              <w:jc w:val="right"/>
                              <w:rPr>
                                <w:rFonts w:ascii="Helvetica" w:hAnsi="Helvetica"/>
                                <w:b/>
                                <w:bCs/>
                                <w:sz w:val="54"/>
                              </w:rPr>
                            </w:pPr>
                            <w:r>
                              <w:rPr>
                                <w:rFonts w:ascii="Helvetica" w:hAnsi="Helvetica"/>
                                <w:b/>
                                <w:bCs/>
                                <w:sz w:val="54"/>
                              </w:rPr>
                              <w:t>Memo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8.55pt;width:10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9xsQ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" o:allowincell="f" filled="f" stroked="f">
                <v:textbox>
                  <w:txbxContent>
                    <w:p w:rsidR="00453111" w:rsidRDefault="00453111">
                      <w:pPr>
                        <w:spacing w:line="360" w:lineRule="auto"/>
                        <w:jc w:val="right"/>
                        <w:rPr>
                          <w:rFonts w:ascii="Helvetica" w:hAnsi="Helvetica"/>
                          <w:b/>
                          <w:bCs/>
                          <w:sz w:val="54"/>
                        </w:rPr>
                      </w:pPr>
                      <w:r>
                        <w:rPr>
                          <w:rFonts w:ascii="Helvetica" w:hAnsi="Helvetica"/>
                          <w:b/>
                          <w:bCs/>
                          <w:sz w:val="54"/>
                        </w:rPr>
                        <w:t>Memo</w:t>
                      </w:r>
                    </w:p>
                  </w:txbxContent>
                </v:textbox>
              </v:shape>
            </w:pict>
          </mc:Fallback>
        </mc:AlternateContent>
      </w:r>
    </w:p>
    <w:p w:rsidR="00E37A96" w:rsidRPr="00C76187" w:rsidRDefault="00E37A96" w:rsidP="00E37A96">
      <w:pPr>
        <w:jc w:val="right"/>
        <w:rPr>
          <w:rFonts w:ascii="BankGothic Lt BT" w:hAnsi="BankGothic Lt BT"/>
        </w:rPr>
      </w:pPr>
    </w:p>
    <w:p w:rsidR="00E37A96" w:rsidRDefault="00E37A96" w:rsidP="00E37A96">
      <w:pPr>
        <w:jc w:val="right"/>
        <w:rPr>
          <w:rFonts w:ascii="BankGothic Lt BT" w:hAnsi="BankGothic Lt BT"/>
        </w:rPr>
      </w:pPr>
    </w:p>
    <w:p w:rsidR="00E37A96" w:rsidRDefault="00E37A96" w:rsidP="00E37A96">
      <w:pPr>
        <w:jc w:val="right"/>
        <w:rPr>
          <w:rFonts w:ascii="BankGothic Lt BT" w:hAnsi="BankGothic Lt BT"/>
        </w:rPr>
      </w:pPr>
    </w:p>
    <w:p w:rsidR="00E37A96" w:rsidRDefault="00E37A96" w:rsidP="00E37A96">
      <w:pPr>
        <w:jc w:val="right"/>
        <w:rPr>
          <w:rFonts w:ascii="BankGothic Lt BT" w:hAnsi="BankGothic Lt BT"/>
        </w:rPr>
      </w:pPr>
    </w:p>
    <w:p w:rsidR="00E37A96" w:rsidRDefault="00E37A96" w:rsidP="00E37A96">
      <w:pPr>
        <w:jc w:val="right"/>
        <w:rPr>
          <w:rFonts w:ascii="BankGothic Lt BT" w:hAnsi="BankGothic Lt BT"/>
        </w:rPr>
      </w:pPr>
    </w:p>
    <w:p w:rsidR="00E37A96" w:rsidRPr="002D683B" w:rsidRDefault="00E37A96" w:rsidP="00E37A96">
      <w:pPr>
        <w:jc w:val="right"/>
        <w:rPr>
          <w:rFonts w:asciiTheme="majorHAnsi" w:hAnsiTheme="majorHAnsi"/>
        </w:rPr>
      </w:pPr>
      <w:r w:rsidRPr="002D683B">
        <w:rPr>
          <w:rFonts w:asciiTheme="majorHAnsi" w:hAnsiTheme="majorHAnsi"/>
        </w:rPr>
        <w:lastRenderedPageBreak/>
        <w:t>Office of Plangineering</w:t>
      </w:r>
    </w:p>
    <w:p w:rsidR="00E37A96" w:rsidRPr="002D683B" w:rsidRDefault="00E37A96" w:rsidP="00E37A96">
      <w:pPr>
        <w:jc w:val="right"/>
        <w:rPr>
          <w:rFonts w:asciiTheme="majorHAnsi" w:hAnsiTheme="majorHAnsi"/>
        </w:rPr>
      </w:pPr>
      <w:smartTag w:uri="urn:schemas-microsoft-com:office:smarttags" w:element="State">
        <w:smartTag w:uri="urn:schemas-microsoft-com:office:smarttags" w:element="address">
          <w:r w:rsidRPr="002D683B">
            <w:rPr>
              <w:rFonts w:asciiTheme="majorHAnsi" w:hAnsiTheme="majorHAnsi"/>
            </w:rPr>
            <w:t>645 Pine Street</w:t>
          </w:r>
        </w:smartTag>
      </w:smartTag>
      <w:r w:rsidRPr="002D683B">
        <w:rPr>
          <w:rFonts w:asciiTheme="majorHAnsi" w:hAnsiTheme="majorHAnsi"/>
        </w:rPr>
        <w:t>, Suite A</w:t>
      </w:r>
    </w:p>
    <w:p w:rsidR="00E37A96" w:rsidRPr="002D683B" w:rsidRDefault="00E37A96" w:rsidP="00E37A96">
      <w:pPr>
        <w:jc w:val="right"/>
        <w:rPr>
          <w:rFonts w:asciiTheme="majorHAnsi" w:hAnsiTheme="majorHAnsi"/>
        </w:rPr>
      </w:pPr>
      <w:r w:rsidRPr="002D683B">
        <w:rPr>
          <w:rFonts w:asciiTheme="majorHAnsi" w:hAnsiTheme="majorHAnsi"/>
        </w:rPr>
        <w:t>Burlington, VT 05402</w:t>
      </w:r>
    </w:p>
    <w:p w:rsidR="00E37A96" w:rsidRPr="002D683B" w:rsidRDefault="00E37A96" w:rsidP="00E37A96">
      <w:pPr>
        <w:jc w:val="right"/>
        <w:rPr>
          <w:rFonts w:asciiTheme="majorHAnsi" w:hAnsiTheme="majorHAnsi"/>
        </w:rPr>
      </w:pPr>
      <w:r w:rsidRPr="002D683B">
        <w:rPr>
          <w:rFonts w:asciiTheme="majorHAnsi" w:hAnsiTheme="majorHAnsi"/>
        </w:rPr>
        <w:t>802.863.9094 P</w:t>
      </w:r>
    </w:p>
    <w:p w:rsidR="00E37A96" w:rsidRPr="002D683B" w:rsidRDefault="00E37A96" w:rsidP="00E37A96">
      <w:pPr>
        <w:jc w:val="right"/>
        <w:rPr>
          <w:rFonts w:asciiTheme="majorHAnsi" w:hAnsiTheme="majorHAnsi"/>
        </w:rPr>
      </w:pPr>
      <w:r w:rsidRPr="002D683B">
        <w:rPr>
          <w:rFonts w:asciiTheme="majorHAnsi" w:hAnsiTheme="majorHAnsi"/>
        </w:rPr>
        <w:t>802.863.0466 F</w:t>
      </w:r>
    </w:p>
    <w:p w:rsidR="00E37A96" w:rsidRPr="002D683B" w:rsidRDefault="00E37A96" w:rsidP="00E37A96">
      <w:pPr>
        <w:jc w:val="right"/>
        <w:rPr>
          <w:rFonts w:asciiTheme="majorHAnsi" w:hAnsiTheme="majorHAnsi"/>
        </w:rPr>
      </w:pPr>
      <w:r w:rsidRPr="002D683B">
        <w:rPr>
          <w:rFonts w:asciiTheme="majorHAnsi" w:hAnsiTheme="majorHAnsi"/>
        </w:rPr>
        <w:t>802.863.0450 TTY</w:t>
      </w:r>
    </w:p>
    <w:p w:rsidR="00254C35" w:rsidRPr="002D683B" w:rsidRDefault="00FE762C" w:rsidP="00E37A96">
      <w:pPr>
        <w:jc w:val="right"/>
        <w:rPr>
          <w:rFonts w:asciiTheme="majorHAnsi" w:hAnsiTheme="majorHAnsi"/>
        </w:rPr>
      </w:pPr>
      <w:hyperlink r:id="rId9" w:history="1">
        <w:r w:rsidR="00E37A96" w:rsidRPr="002D683B">
          <w:rPr>
            <w:rStyle w:val="Hyperlink"/>
            <w:rFonts w:asciiTheme="majorHAnsi" w:hAnsiTheme="majorHAnsi"/>
          </w:rPr>
          <w:t>www.dpw.ci.burlington.vt.us</w:t>
        </w:r>
      </w:hyperlink>
    </w:p>
    <w:p w:rsidR="00E37A96" w:rsidRPr="002D683B" w:rsidRDefault="00E37A96" w:rsidP="00E37A96">
      <w:pPr>
        <w:jc w:val="right"/>
        <w:rPr>
          <w:rFonts w:asciiTheme="majorHAnsi" w:hAnsiTheme="majorHAnsi"/>
        </w:rPr>
      </w:pPr>
    </w:p>
    <w:p w:rsidR="00E37A96" w:rsidRPr="002D683B" w:rsidRDefault="00E37A96" w:rsidP="00E37A96">
      <w:pPr>
        <w:jc w:val="right"/>
        <w:rPr>
          <w:rFonts w:asciiTheme="majorHAnsi" w:hAnsiTheme="majorHAnsi"/>
          <w:b/>
        </w:rPr>
      </w:pPr>
      <w:r w:rsidRPr="002D683B">
        <w:rPr>
          <w:rFonts w:asciiTheme="majorHAnsi" w:hAnsiTheme="majorHAnsi"/>
          <w:b/>
        </w:rPr>
        <w:t>Steven Goodkind, P.E.</w:t>
      </w:r>
    </w:p>
    <w:p w:rsidR="00E37A96" w:rsidRPr="002D683B" w:rsidRDefault="00E37A96" w:rsidP="00E37A96">
      <w:pPr>
        <w:jc w:val="right"/>
        <w:rPr>
          <w:rFonts w:asciiTheme="majorHAnsi" w:hAnsiTheme="majorHAnsi"/>
          <w:i/>
          <w:sz w:val="18"/>
          <w:szCs w:val="18"/>
        </w:rPr>
      </w:pPr>
      <w:r w:rsidRPr="002D683B">
        <w:rPr>
          <w:rFonts w:asciiTheme="majorHAnsi" w:hAnsiTheme="majorHAnsi"/>
          <w:i/>
          <w:sz w:val="18"/>
          <w:szCs w:val="18"/>
        </w:rPr>
        <w:t>DIRECTOR OF PUBLIC WORKS</w:t>
      </w:r>
    </w:p>
    <w:p w:rsidR="00E37A96" w:rsidRDefault="00E37A96" w:rsidP="00E37A96">
      <w:pPr>
        <w:jc w:val="right"/>
        <w:rPr>
          <w:rFonts w:ascii="BankGothic Lt BT" w:hAnsi="BankGothic Lt BT"/>
          <w:i/>
          <w:sz w:val="18"/>
          <w:szCs w:val="18"/>
        </w:rPr>
      </w:pPr>
      <w:r w:rsidRPr="002D683B">
        <w:rPr>
          <w:rFonts w:asciiTheme="majorHAnsi" w:hAnsiTheme="majorHAnsi"/>
          <w:i/>
          <w:sz w:val="18"/>
          <w:szCs w:val="18"/>
        </w:rPr>
        <w:t>City Engineer</w:t>
      </w:r>
    </w:p>
    <w:p w:rsidR="00E37A96" w:rsidRDefault="00E37A96" w:rsidP="00E37A96">
      <w:pPr>
        <w:jc w:val="right"/>
        <w:rPr>
          <w:rFonts w:ascii="Helvetica" w:hAnsi="Helvetica"/>
          <w:sz w:val="14"/>
        </w:rPr>
      </w:pPr>
    </w:p>
    <w:p w:rsidR="00254C35" w:rsidRDefault="00254C35">
      <w:pPr>
        <w:jc w:val="right"/>
        <w:rPr>
          <w:rFonts w:ascii="Helvetica" w:hAnsi="Helvetica"/>
          <w:sz w:val="14"/>
        </w:rPr>
      </w:pPr>
      <w:r>
        <w:rPr>
          <w:rFonts w:ascii="Helvetica" w:hAnsi="Helvetica"/>
          <w:sz w:val="14"/>
        </w:rPr>
        <w:br/>
        <w:t xml:space="preserve"> </w:t>
      </w:r>
    </w:p>
    <w:p w:rsidR="00254C35" w:rsidRDefault="00254C35">
      <w:pPr>
        <w:jc w:val="right"/>
        <w:sectPr w:rsidR="00254C35">
          <w:type w:val="continuous"/>
          <w:pgSz w:w="12240" w:h="15840"/>
          <w:pgMar w:top="720" w:right="1260" w:bottom="720" w:left="1627" w:header="720" w:footer="720" w:gutter="0"/>
          <w:cols w:num="2" w:space="720" w:equalWidth="0">
            <w:col w:w="4133" w:space="720"/>
            <w:col w:w="4500"/>
          </w:cols>
        </w:sectPr>
      </w:pPr>
    </w:p>
    <w:p w:rsidR="00254C35" w:rsidRDefault="00254C35"/>
    <w:p w:rsidR="00254C35" w:rsidRPr="00784FD3" w:rsidRDefault="00254C35">
      <w:pPr>
        <w:spacing w:line="480" w:lineRule="auto"/>
        <w:rPr>
          <w:rFonts w:ascii="Cambria" w:hAnsi="Cambria"/>
        </w:rPr>
      </w:pPr>
      <w:r w:rsidRPr="00784FD3">
        <w:rPr>
          <w:rFonts w:ascii="Cambria" w:hAnsi="Cambria"/>
          <w:i/>
        </w:rPr>
        <w:t>Date:</w:t>
      </w:r>
      <w:r w:rsidRPr="00784FD3">
        <w:rPr>
          <w:rFonts w:ascii="Cambria" w:hAnsi="Cambria"/>
          <w:i/>
        </w:rPr>
        <w:tab/>
      </w:r>
      <w:r w:rsidRPr="00784FD3">
        <w:rPr>
          <w:rFonts w:ascii="Cambria" w:hAnsi="Cambria"/>
          <w:i/>
        </w:rPr>
        <w:tab/>
      </w:r>
      <w:r w:rsidR="001B20C0">
        <w:rPr>
          <w:rFonts w:ascii="Cambria" w:hAnsi="Cambria"/>
          <w:i/>
        </w:rPr>
        <w:t>June 5, 2013</w:t>
      </w:r>
    </w:p>
    <w:p w:rsidR="006B4A40" w:rsidRPr="00784FD3" w:rsidRDefault="00254C35">
      <w:pPr>
        <w:rPr>
          <w:rFonts w:ascii="Cambria" w:hAnsi="Cambria"/>
        </w:rPr>
      </w:pPr>
      <w:r w:rsidRPr="00784FD3">
        <w:rPr>
          <w:rFonts w:ascii="Cambria" w:hAnsi="Cambria"/>
          <w:i/>
        </w:rPr>
        <w:t>To:</w:t>
      </w:r>
      <w:r w:rsidRPr="00784FD3">
        <w:rPr>
          <w:rFonts w:ascii="Cambria" w:hAnsi="Cambria"/>
          <w:i/>
        </w:rPr>
        <w:tab/>
      </w:r>
      <w:r w:rsidRPr="00784FD3">
        <w:rPr>
          <w:rFonts w:ascii="Cambria" w:hAnsi="Cambria"/>
          <w:i/>
        </w:rPr>
        <w:tab/>
      </w:r>
      <w:r w:rsidR="001B20C0">
        <w:rPr>
          <w:rFonts w:ascii="Cambria" w:hAnsi="Cambria"/>
          <w:i/>
        </w:rPr>
        <w:t>City Council</w:t>
      </w:r>
    </w:p>
    <w:p w:rsidR="00254C35" w:rsidRPr="00784FD3" w:rsidRDefault="00254C35">
      <w:pPr>
        <w:rPr>
          <w:rFonts w:ascii="Cambria" w:hAnsi="Cambria"/>
          <w:i/>
        </w:rPr>
      </w:pPr>
    </w:p>
    <w:p w:rsidR="00B9574D" w:rsidRDefault="00254C35" w:rsidP="00B9574D">
      <w:pPr>
        <w:rPr>
          <w:rFonts w:ascii="Cambria" w:hAnsi="Cambria"/>
          <w:i/>
        </w:rPr>
      </w:pPr>
      <w:r w:rsidRPr="00784FD3">
        <w:rPr>
          <w:rFonts w:ascii="Cambria" w:hAnsi="Cambria"/>
          <w:i/>
        </w:rPr>
        <w:t>From:</w:t>
      </w:r>
      <w:r w:rsidRPr="00784FD3">
        <w:rPr>
          <w:rFonts w:ascii="Cambria" w:hAnsi="Cambria"/>
          <w:i/>
        </w:rPr>
        <w:tab/>
      </w:r>
      <w:r w:rsidRPr="00784FD3">
        <w:rPr>
          <w:rFonts w:ascii="Cambria" w:hAnsi="Cambria"/>
          <w:i/>
        </w:rPr>
        <w:tab/>
      </w:r>
      <w:r w:rsidR="002D683B">
        <w:rPr>
          <w:rFonts w:ascii="Cambria" w:hAnsi="Cambria"/>
          <w:i/>
        </w:rPr>
        <w:t>Nicole Losch, Transportation Planner</w:t>
      </w:r>
    </w:p>
    <w:p w:rsidR="00254C35" w:rsidRPr="00784FD3" w:rsidRDefault="00254C35">
      <w:pPr>
        <w:rPr>
          <w:rFonts w:ascii="Cambria" w:hAnsi="Cambria"/>
          <w:i/>
        </w:rPr>
      </w:pPr>
    </w:p>
    <w:p w:rsidR="002D683B" w:rsidRPr="002D683B" w:rsidRDefault="00254C35">
      <w:pPr>
        <w:spacing w:line="480" w:lineRule="auto"/>
        <w:rPr>
          <w:rFonts w:ascii="Cambria" w:hAnsi="Cambria"/>
          <w:i/>
        </w:rPr>
      </w:pPr>
      <w:r w:rsidRPr="00784FD3">
        <w:rPr>
          <w:rFonts w:ascii="Cambria" w:hAnsi="Cambria"/>
          <w:i/>
        </w:rPr>
        <w:t>Subject:</w:t>
      </w:r>
      <w:r w:rsidRPr="00784FD3">
        <w:rPr>
          <w:rFonts w:ascii="Cambria" w:hAnsi="Cambria"/>
          <w:i/>
        </w:rPr>
        <w:tab/>
      </w:r>
      <w:r w:rsidR="002D683B">
        <w:rPr>
          <w:rFonts w:ascii="Cambria" w:hAnsi="Cambria"/>
          <w:i/>
        </w:rPr>
        <w:t>Authorization to Enter Agreements to Provide Local Match</w:t>
      </w:r>
    </w:p>
    <w:p w:rsidR="00254C35" w:rsidRPr="00784FD3" w:rsidRDefault="00254C35">
      <w:pPr>
        <w:pBdr>
          <w:bottom w:val="single" w:sz="4" w:space="1" w:color="auto"/>
        </w:pBdr>
        <w:rPr>
          <w:rFonts w:ascii="Cambria" w:hAnsi="Cambria"/>
        </w:rPr>
      </w:pPr>
    </w:p>
    <w:p w:rsidR="009D7DA5" w:rsidRPr="00784FD3" w:rsidRDefault="009D7DA5">
      <w:pPr>
        <w:ind w:right="-360"/>
        <w:rPr>
          <w:rFonts w:ascii="Cambria" w:hAnsi="Cambria"/>
        </w:rPr>
      </w:pPr>
    </w:p>
    <w:p w:rsidR="00D202BC" w:rsidRPr="00D202BC" w:rsidRDefault="00D202BC">
      <w:pPr>
        <w:pBdr>
          <w:bottom w:val="single" w:sz="4" w:space="1" w:color="auto"/>
        </w:pBdr>
        <w:rPr>
          <w:rFonts w:ascii="Cambria" w:hAnsi="Cambria"/>
          <w:b/>
        </w:rPr>
      </w:pPr>
      <w:r w:rsidRPr="00D202BC">
        <w:rPr>
          <w:rFonts w:ascii="Cambria" w:hAnsi="Cambria"/>
          <w:b/>
        </w:rPr>
        <w:t>BACKGROUND</w:t>
      </w:r>
    </w:p>
    <w:p w:rsidR="002D683B" w:rsidRDefault="00D202BC" w:rsidP="00D202BC">
      <w:pPr>
        <w:pBdr>
          <w:bottom w:val="single" w:sz="4" w:space="1" w:color="auto"/>
        </w:pBdr>
        <w:rPr>
          <w:rFonts w:ascii="Cambria" w:hAnsi="Cambria"/>
        </w:rPr>
      </w:pPr>
      <w:r>
        <w:rPr>
          <w:rFonts w:ascii="Cambria" w:hAnsi="Cambria"/>
        </w:rPr>
        <w:t>The Chittenden County Regional Planning Commission (</w:t>
      </w:r>
      <w:r w:rsidR="002D683B">
        <w:rPr>
          <w:rFonts w:ascii="Cambria" w:hAnsi="Cambria"/>
        </w:rPr>
        <w:t>CCRPC</w:t>
      </w:r>
      <w:r>
        <w:rPr>
          <w:rFonts w:ascii="Cambria" w:hAnsi="Cambria"/>
        </w:rPr>
        <w:t>)</w:t>
      </w:r>
      <w:r w:rsidR="002D683B">
        <w:rPr>
          <w:rFonts w:ascii="Cambria" w:hAnsi="Cambria"/>
        </w:rPr>
        <w:t xml:space="preserve"> receives </w:t>
      </w:r>
      <w:r>
        <w:rPr>
          <w:rFonts w:ascii="Cambria" w:hAnsi="Cambria"/>
        </w:rPr>
        <w:t xml:space="preserve">metropolitan planning funds from the </w:t>
      </w:r>
      <w:r w:rsidR="002D683B">
        <w:rPr>
          <w:rFonts w:ascii="Cambria" w:hAnsi="Cambria"/>
        </w:rPr>
        <w:t>F</w:t>
      </w:r>
      <w:r>
        <w:rPr>
          <w:rFonts w:ascii="Cambria" w:hAnsi="Cambria"/>
        </w:rPr>
        <w:t>ederal Highway Administration (F</w:t>
      </w:r>
      <w:r w:rsidR="002D683B">
        <w:rPr>
          <w:rFonts w:ascii="Cambria" w:hAnsi="Cambria"/>
        </w:rPr>
        <w:t>HWA</w:t>
      </w:r>
      <w:r>
        <w:rPr>
          <w:rFonts w:ascii="Cambria" w:hAnsi="Cambria"/>
        </w:rPr>
        <w:t>)</w:t>
      </w:r>
      <w:r w:rsidR="002D683B">
        <w:rPr>
          <w:rFonts w:ascii="Cambria" w:hAnsi="Cambria"/>
        </w:rPr>
        <w:t xml:space="preserve"> </w:t>
      </w:r>
      <w:r>
        <w:rPr>
          <w:rFonts w:ascii="Cambria" w:hAnsi="Cambria"/>
        </w:rPr>
        <w:t xml:space="preserve">to support activities related to surface transportation planning. The CCRPC allocates these funds through their annual Unified Planning Work Program (UPWP). </w:t>
      </w:r>
      <w:r w:rsidR="00493510">
        <w:rPr>
          <w:rFonts w:ascii="Cambria" w:hAnsi="Cambria"/>
        </w:rPr>
        <w:t xml:space="preserve">There is an additional mid-year adjustment, which modifies the scope of work to account for unanticipated planning activities. </w:t>
      </w:r>
    </w:p>
    <w:p w:rsidR="00D202BC" w:rsidRDefault="00D202BC" w:rsidP="00D202BC">
      <w:pPr>
        <w:pBdr>
          <w:bottom w:val="single" w:sz="4" w:space="1" w:color="auto"/>
        </w:pBdr>
        <w:rPr>
          <w:rFonts w:ascii="Cambria" w:hAnsi="Cambria"/>
        </w:rPr>
      </w:pPr>
    </w:p>
    <w:p w:rsidR="00D202BC" w:rsidRDefault="00D202BC" w:rsidP="00D202BC">
      <w:pPr>
        <w:pBdr>
          <w:bottom w:val="single" w:sz="4" w:space="1" w:color="auto"/>
        </w:pBdr>
        <w:rPr>
          <w:rFonts w:ascii="Cambria" w:hAnsi="Cambria"/>
        </w:rPr>
      </w:pPr>
      <w:r>
        <w:rPr>
          <w:rFonts w:ascii="Cambria" w:hAnsi="Cambria"/>
        </w:rPr>
        <w:t xml:space="preserve">The Department of Public Works </w:t>
      </w:r>
      <w:r w:rsidR="00493510">
        <w:rPr>
          <w:rFonts w:ascii="Cambria" w:hAnsi="Cambria"/>
        </w:rPr>
        <w:t xml:space="preserve">(DPW) </w:t>
      </w:r>
      <w:r>
        <w:rPr>
          <w:rFonts w:ascii="Cambria" w:hAnsi="Cambria"/>
        </w:rPr>
        <w:t xml:space="preserve">consults existing city plans and other city departments to identify projects in need of transportation planning. Projects are submitted during the UPWP development </w:t>
      </w:r>
      <w:r w:rsidR="00493510">
        <w:rPr>
          <w:rFonts w:ascii="Cambria" w:hAnsi="Cambria"/>
        </w:rPr>
        <w:t xml:space="preserve">schedule, and then prioritized by the CCRPC with consultation from DPW. </w:t>
      </w:r>
    </w:p>
    <w:p w:rsidR="00D13BA5" w:rsidRPr="00D13BA5" w:rsidRDefault="00D13BA5">
      <w:pPr>
        <w:pBdr>
          <w:bottom w:val="single" w:sz="4" w:space="1" w:color="auto"/>
        </w:pBdr>
        <w:rPr>
          <w:rFonts w:ascii="Cambria" w:hAnsi="Cambria"/>
          <w:b/>
        </w:rPr>
      </w:pPr>
    </w:p>
    <w:p w:rsidR="002D683B" w:rsidRDefault="00D13BA5">
      <w:pPr>
        <w:pBdr>
          <w:bottom w:val="single" w:sz="4" w:space="1" w:color="auto"/>
        </w:pBdr>
        <w:rPr>
          <w:rFonts w:ascii="Cambria" w:hAnsi="Cambria"/>
        </w:rPr>
      </w:pPr>
      <w:r>
        <w:rPr>
          <w:rFonts w:ascii="Cambria" w:hAnsi="Cambria"/>
        </w:rPr>
        <w:t>UPWP p</w:t>
      </w:r>
      <w:r w:rsidR="00493510">
        <w:rPr>
          <w:rFonts w:ascii="Cambria" w:hAnsi="Cambria"/>
        </w:rPr>
        <w:t>rojects are approved by the CCRPC’s Transportation Advisory Committee (TAC</w:t>
      </w:r>
      <w:r>
        <w:rPr>
          <w:rFonts w:ascii="Cambria" w:hAnsi="Cambria"/>
        </w:rPr>
        <w:t xml:space="preserve">) and </w:t>
      </w:r>
      <w:r w:rsidR="00493510">
        <w:rPr>
          <w:rFonts w:ascii="Cambria" w:hAnsi="Cambria"/>
        </w:rPr>
        <w:t>Board o</w:t>
      </w:r>
      <w:r>
        <w:rPr>
          <w:rFonts w:ascii="Cambria" w:hAnsi="Cambria"/>
        </w:rPr>
        <w:t xml:space="preserve">f Directors, on which Burlington has </w:t>
      </w:r>
      <w:r w:rsidR="00493510">
        <w:rPr>
          <w:rFonts w:ascii="Cambria" w:hAnsi="Cambria"/>
        </w:rPr>
        <w:t>one representative</w:t>
      </w:r>
      <w:r>
        <w:rPr>
          <w:rFonts w:ascii="Cambria" w:hAnsi="Cambria"/>
        </w:rPr>
        <w:t xml:space="preserve"> on each committee</w:t>
      </w:r>
      <w:r w:rsidR="00493510">
        <w:rPr>
          <w:rFonts w:ascii="Cambria" w:hAnsi="Cambria"/>
        </w:rPr>
        <w:t>. Projects often proceed with work provided by a consultant recommended from the CCRPC’s on-call list</w:t>
      </w:r>
      <w:r>
        <w:rPr>
          <w:rFonts w:ascii="Cambria" w:hAnsi="Cambria"/>
        </w:rPr>
        <w:t>.</w:t>
      </w:r>
      <w:r w:rsidR="00493510">
        <w:rPr>
          <w:rFonts w:ascii="Cambria" w:hAnsi="Cambria"/>
        </w:rPr>
        <w:t xml:space="preserve"> </w:t>
      </w:r>
      <w:r w:rsidR="002D683B">
        <w:rPr>
          <w:rFonts w:ascii="Cambria" w:hAnsi="Cambria"/>
        </w:rPr>
        <w:t xml:space="preserve">The city agrees to pay the CCRPC </w:t>
      </w:r>
      <w:r>
        <w:rPr>
          <w:rFonts w:ascii="Cambria" w:hAnsi="Cambria"/>
        </w:rPr>
        <w:t xml:space="preserve">for the </w:t>
      </w:r>
      <w:r w:rsidR="002D683B">
        <w:rPr>
          <w:rFonts w:ascii="Cambria" w:hAnsi="Cambria"/>
        </w:rPr>
        <w:t>local match required</w:t>
      </w:r>
      <w:r>
        <w:rPr>
          <w:rFonts w:ascii="Cambria" w:hAnsi="Cambria"/>
        </w:rPr>
        <w:t xml:space="preserve"> (usually 20 percent)</w:t>
      </w:r>
      <w:r w:rsidR="002D683B">
        <w:rPr>
          <w:rFonts w:ascii="Cambria" w:hAnsi="Cambria"/>
        </w:rPr>
        <w:t xml:space="preserve"> for </w:t>
      </w:r>
      <w:r w:rsidR="00D202BC">
        <w:rPr>
          <w:rFonts w:ascii="Cambria" w:hAnsi="Cambria"/>
        </w:rPr>
        <w:t>locally managed projects,</w:t>
      </w:r>
      <w:r w:rsidR="002D683B">
        <w:rPr>
          <w:rFonts w:ascii="Cambria" w:hAnsi="Cambria"/>
        </w:rPr>
        <w:t xml:space="preserve"> for the consultant’s work on the projects. </w:t>
      </w:r>
    </w:p>
    <w:p w:rsidR="001B20C0" w:rsidRDefault="001B20C0">
      <w:pPr>
        <w:pBdr>
          <w:bottom w:val="single" w:sz="4" w:space="1" w:color="auto"/>
        </w:pBdr>
        <w:rPr>
          <w:rFonts w:ascii="Cambria" w:hAnsi="Cambria"/>
        </w:rPr>
      </w:pPr>
    </w:p>
    <w:p w:rsidR="001B20C0" w:rsidRDefault="001B20C0">
      <w:pPr>
        <w:pBdr>
          <w:bottom w:val="single" w:sz="4" w:space="1" w:color="auto"/>
        </w:pBdr>
        <w:rPr>
          <w:rFonts w:ascii="Cambria" w:hAnsi="Cambria"/>
        </w:rPr>
      </w:pPr>
      <w:r>
        <w:rPr>
          <w:rFonts w:ascii="Cambria" w:hAnsi="Cambria"/>
        </w:rPr>
        <w:t xml:space="preserve">At the June 3, 2013 meeting of the Board of Finance, the DPW requested and received approval to execute two agreements to provide local match for planning of two </w:t>
      </w:r>
      <w:bookmarkStart w:id="0" w:name="_GoBack"/>
      <w:bookmarkEnd w:id="0"/>
      <w:r>
        <w:rPr>
          <w:rFonts w:ascii="Cambria" w:hAnsi="Cambria"/>
        </w:rPr>
        <w:t xml:space="preserve">projects currently underway. Although the projects are underway, no local funds have been expended on these projects. In addition, no budget amendment is necessary to expend funds for these projects, which are programmed within the Street Capital Local Match. </w:t>
      </w:r>
    </w:p>
    <w:p w:rsidR="001B20C0" w:rsidRDefault="001B20C0">
      <w:pPr>
        <w:pBdr>
          <w:bottom w:val="single" w:sz="4" w:space="1" w:color="auto"/>
        </w:pBdr>
        <w:rPr>
          <w:rFonts w:ascii="Cambria" w:hAnsi="Cambria"/>
        </w:rPr>
      </w:pPr>
    </w:p>
    <w:p w:rsidR="001B20C0" w:rsidRDefault="001B20C0">
      <w:pPr>
        <w:pBdr>
          <w:bottom w:val="single" w:sz="4" w:space="1" w:color="auto"/>
        </w:pBdr>
        <w:rPr>
          <w:rFonts w:ascii="Cambria" w:hAnsi="Cambria"/>
        </w:rPr>
      </w:pPr>
    </w:p>
    <w:p w:rsidR="002D683B" w:rsidRDefault="002D683B">
      <w:pPr>
        <w:pBdr>
          <w:bottom w:val="single" w:sz="4" w:space="1" w:color="auto"/>
        </w:pBdr>
        <w:rPr>
          <w:rFonts w:ascii="Cambria" w:hAnsi="Cambria"/>
        </w:rPr>
      </w:pPr>
    </w:p>
    <w:p w:rsidR="00D13BA5" w:rsidRDefault="00D13BA5">
      <w:pPr>
        <w:pBdr>
          <w:bottom w:val="single" w:sz="4" w:space="1" w:color="auto"/>
        </w:pBdr>
        <w:rPr>
          <w:rFonts w:ascii="Cambria" w:hAnsi="Cambria"/>
          <w:b/>
        </w:rPr>
      </w:pPr>
      <w:r>
        <w:rPr>
          <w:rFonts w:ascii="Cambria" w:hAnsi="Cambria"/>
          <w:b/>
        </w:rPr>
        <w:t>REQUEST FOR APPROVAL</w:t>
      </w:r>
    </w:p>
    <w:p w:rsidR="008C0F32" w:rsidRDefault="008C0F32">
      <w:pPr>
        <w:pBdr>
          <w:bottom w:val="single" w:sz="4" w:space="1" w:color="auto"/>
        </w:pBdr>
        <w:rPr>
          <w:rFonts w:ascii="Cambria" w:hAnsi="Cambria"/>
        </w:rPr>
      </w:pPr>
    </w:p>
    <w:p w:rsidR="002D683B" w:rsidRPr="008C0F32" w:rsidRDefault="00D13BA5">
      <w:pPr>
        <w:pBdr>
          <w:bottom w:val="single" w:sz="4" w:space="1" w:color="auto"/>
        </w:pBdr>
        <w:rPr>
          <w:rFonts w:ascii="Cambria" w:hAnsi="Cambria"/>
          <w:u w:val="single"/>
        </w:rPr>
      </w:pPr>
      <w:proofErr w:type="spellStart"/>
      <w:r w:rsidRPr="008C0F32">
        <w:rPr>
          <w:rFonts w:ascii="Cambria" w:hAnsi="Cambria"/>
          <w:u w:val="single"/>
        </w:rPr>
        <w:t>Railyard</w:t>
      </w:r>
      <w:proofErr w:type="spellEnd"/>
      <w:r w:rsidRPr="008C0F32">
        <w:rPr>
          <w:rFonts w:ascii="Cambria" w:hAnsi="Cambria"/>
          <w:u w:val="single"/>
        </w:rPr>
        <w:t xml:space="preserve"> Enterprise Project</w:t>
      </w:r>
    </w:p>
    <w:p w:rsidR="002D683B" w:rsidRDefault="00D13BA5">
      <w:pPr>
        <w:pBdr>
          <w:bottom w:val="single" w:sz="4" w:space="1" w:color="auto"/>
        </w:pBdr>
        <w:rPr>
          <w:rFonts w:ascii="Cambria" w:hAnsi="Cambria"/>
        </w:rPr>
      </w:pPr>
      <w:r>
        <w:rPr>
          <w:rFonts w:ascii="Cambria" w:hAnsi="Cambria"/>
        </w:rPr>
        <w:t xml:space="preserve">The purpose of this project is to develop a network of multimodal transportation infrastructure improvements, which incorporate the principles of Complete Streets, to </w:t>
      </w:r>
      <w:r>
        <w:rPr>
          <w:rFonts w:ascii="Cambria" w:hAnsi="Cambria"/>
        </w:rPr>
        <w:lastRenderedPageBreak/>
        <w:t xml:space="preserve">support economic development in the area; improve livability of the surrounding neighborhoods; enhance multimodal travel connectivity between the Pint Street corridor to and the Burlington Waterfront South area; and improve intermodal connections to the Burlington </w:t>
      </w:r>
      <w:proofErr w:type="spellStart"/>
      <w:r>
        <w:rPr>
          <w:rFonts w:ascii="Cambria" w:hAnsi="Cambria"/>
        </w:rPr>
        <w:t>Railyard</w:t>
      </w:r>
      <w:proofErr w:type="spellEnd"/>
      <w:r>
        <w:rPr>
          <w:rFonts w:ascii="Cambria" w:hAnsi="Cambria"/>
        </w:rPr>
        <w:t xml:space="preserve">. </w:t>
      </w:r>
    </w:p>
    <w:p w:rsidR="002D683B" w:rsidRDefault="008C0F32" w:rsidP="008C0F32">
      <w:pPr>
        <w:pBdr>
          <w:bottom w:val="single" w:sz="4" w:space="1" w:color="auto"/>
        </w:pBdr>
        <w:ind w:firstLine="720"/>
        <w:rPr>
          <w:rFonts w:ascii="Cambria" w:hAnsi="Cambria"/>
        </w:rPr>
      </w:pPr>
      <w:r>
        <w:rPr>
          <w:rFonts w:ascii="Cambria" w:hAnsi="Cambria"/>
        </w:rPr>
        <w:t xml:space="preserve">Total </w:t>
      </w:r>
      <w:r w:rsidR="002D683B">
        <w:rPr>
          <w:rFonts w:ascii="Cambria" w:hAnsi="Cambria"/>
        </w:rPr>
        <w:t>project cost</w:t>
      </w:r>
      <w:r>
        <w:rPr>
          <w:rFonts w:ascii="Cambria" w:hAnsi="Cambria"/>
        </w:rPr>
        <w:t>:</w:t>
      </w:r>
      <w:r w:rsidR="002D683B">
        <w:rPr>
          <w:rFonts w:ascii="Cambria" w:hAnsi="Cambria"/>
        </w:rPr>
        <w:t xml:space="preserve"> $162,724</w:t>
      </w:r>
    </w:p>
    <w:p w:rsidR="002D683B" w:rsidRDefault="008C0F32" w:rsidP="008C0F32">
      <w:pPr>
        <w:pBdr>
          <w:bottom w:val="single" w:sz="4" w:space="1" w:color="auto"/>
        </w:pBdr>
        <w:ind w:firstLine="720"/>
        <w:rPr>
          <w:rFonts w:ascii="Cambria" w:hAnsi="Cambria"/>
        </w:rPr>
      </w:pPr>
      <w:r>
        <w:rPr>
          <w:rFonts w:ascii="Cambria" w:hAnsi="Cambria"/>
        </w:rPr>
        <w:t xml:space="preserve">CCRPC agrees to provide FHWA funds for 80% </w:t>
      </w:r>
      <w:r w:rsidR="002D683B">
        <w:rPr>
          <w:rFonts w:ascii="Cambria" w:hAnsi="Cambria"/>
        </w:rPr>
        <w:t>of the project cost</w:t>
      </w:r>
      <w:r>
        <w:rPr>
          <w:rFonts w:ascii="Cambria" w:hAnsi="Cambria"/>
        </w:rPr>
        <w:t xml:space="preserve">: </w:t>
      </w:r>
      <w:r w:rsidR="002D683B">
        <w:rPr>
          <w:rFonts w:ascii="Cambria" w:hAnsi="Cambria"/>
        </w:rPr>
        <w:t>$130,179</w:t>
      </w:r>
    </w:p>
    <w:p w:rsidR="002D683B" w:rsidRPr="008C0F32" w:rsidRDefault="008C0F32">
      <w:pPr>
        <w:pBdr>
          <w:bottom w:val="single" w:sz="4" w:space="1" w:color="auto"/>
        </w:pBdr>
        <w:rPr>
          <w:rFonts w:ascii="Cambria" w:hAnsi="Cambria"/>
          <w:b/>
          <w:i/>
        </w:rPr>
      </w:pPr>
      <w:r w:rsidRPr="008C0F32">
        <w:rPr>
          <w:rFonts w:ascii="Cambria" w:hAnsi="Cambria"/>
          <w:b/>
          <w:i/>
        </w:rPr>
        <w:t>We request authorization to execute the local match agreement to p</w:t>
      </w:r>
      <w:r w:rsidR="00D202BC" w:rsidRPr="008C0F32">
        <w:rPr>
          <w:rFonts w:ascii="Cambria" w:hAnsi="Cambria"/>
          <w:b/>
          <w:i/>
        </w:rPr>
        <w:t>rovide the 20% local match</w:t>
      </w:r>
      <w:r w:rsidR="002D683B" w:rsidRPr="008C0F32">
        <w:rPr>
          <w:rFonts w:ascii="Cambria" w:hAnsi="Cambria"/>
          <w:b/>
          <w:i/>
        </w:rPr>
        <w:t>, in the amount of $32,545</w:t>
      </w:r>
      <w:r>
        <w:rPr>
          <w:rFonts w:ascii="Cambria" w:hAnsi="Cambria"/>
          <w:b/>
          <w:i/>
        </w:rPr>
        <w:t>.</w:t>
      </w:r>
    </w:p>
    <w:p w:rsidR="002D683B" w:rsidRDefault="002D683B">
      <w:pPr>
        <w:pBdr>
          <w:bottom w:val="single" w:sz="4" w:space="1" w:color="auto"/>
        </w:pBdr>
        <w:rPr>
          <w:rFonts w:ascii="Cambria" w:hAnsi="Cambria"/>
        </w:rPr>
      </w:pPr>
    </w:p>
    <w:p w:rsidR="002D683B" w:rsidRPr="008C0F32" w:rsidRDefault="00D202BC">
      <w:pPr>
        <w:pBdr>
          <w:bottom w:val="single" w:sz="4" w:space="1" w:color="auto"/>
        </w:pBdr>
        <w:rPr>
          <w:rFonts w:ascii="Cambria" w:hAnsi="Cambria"/>
          <w:u w:val="single"/>
        </w:rPr>
      </w:pPr>
      <w:r w:rsidRPr="008C0F32">
        <w:rPr>
          <w:rFonts w:ascii="Cambria" w:hAnsi="Cambria"/>
          <w:u w:val="single"/>
        </w:rPr>
        <w:t>North Avenue Corridor Study</w:t>
      </w:r>
    </w:p>
    <w:p w:rsidR="00D202BC" w:rsidRDefault="008C0F32">
      <w:pPr>
        <w:pBdr>
          <w:bottom w:val="single" w:sz="4" w:space="1" w:color="auto"/>
        </w:pBdr>
        <w:rPr>
          <w:rFonts w:ascii="Cambria" w:hAnsi="Cambria"/>
        </w:rPr>
      </w:pPr>
      <w:r>
        <w:rPr>
          <w:rFonts w:ascii="Cambria" w:hAnsi="Cambria"/>
        </w:rPr>
        <w:t xml:space="preserve">This project will facilitate a study of North Avenue between Plattsburg Avenue and North Street and solicit public feedback to identify transportation improvements to the corridor. </w:t>
      </w:r>
      <w:r w:rsidR="00D202BC">
        <w:rPr>
          <w:rFonts w:ascii="Cambria" w:hAnsi="Cambria"/>
        </w:rPr>
        <w:t xml:space="preserve">The project kick-off meeting for the Advisory Committee is scheduled for early June. The first public meeting is anticipated to be held in July. </w:t>
      </w:r>
    </w:p>
    <w:p w:rsidR="00D202BC" w:rsidRDefault="00D202BC" w:rsidP="008C0F32">
      <w:pPr>
        <w:pBdr>
          <w:bottom w:val="single" w:sz="4" w:space="1" w:color="auto"/>
        </w:pBdr>
        <w:ind w:firstLine="720"/>
        <w:rPr>
          <w:rFonts w:ascii="Cambria" w:hAnsi="Cambria"/>
        </w:rPr>
      </w:pPr>
      <w:r>
        <w:rPr>
          <w:rFonts w:ascii="Cambria" w:hAnsi="Cambria"/>
        </w:rPr>
        <w:t>Total project</w:t>
      </w:r>
      <w:r w:rsidR="008C0F32">
        <w:rPr>
          <w:rFonts w:ascii="Cambria" w:hAnsi="Cambria"/>
        </w:rPr>
        <w:t xml:space="preserve">: </w:t>
      </w:r>
      <w:r>
        <w:rPr>
          <w:rFonts w:ascii="Cambria" w:hAnsi="Cambria"/>
        </w:rPr>
        <w:t xml:space="preserve"> $115,848</w:t>
      </w:r>
    </w:p>
    <w:p w:rsidR="00D202BC" w:rsidRDefault="00D202BC" w:rsidP="008C0F32">
      <w:pPr>
        <w:pBdr>
          <w:bottom w:val="single" w:sz="4" w:space="1" w:color="auto"/>
        </w:pBdr>
        <w:ind w:firstLine="720"/>
        <w:rPr>
          <w:rFonts w:ascii="Cambria" w:hAnsi="Cambria"/>
        </w:rPr>
      </w:pPr>
      <w:r>
        <w:rPr>
          <w:rFonts w:ascii="Cambria" w:hAnsi="Cambria"/>
        </w:rPr>
        <w:t>CCRPC agrees to provide FHWA funds for 80% of the project cost</w:t>
      </w:r>
      <w:r w:rsidR="008C0F32">
        <w:rPr>
          <w:rFonts w:ascii="Cambria" w:hAnsi="Cambria"/>
        </w:rPr>
        <w:t>:</w:t>
      </w:r>
      <w:r>
        <w:rPr>
          <w:rFonts w:ascii="Cambria" w:hAnsi="Cambria"/>
        </w:rPr>
        <w:t xml:space="preserve"> $92,678</w:t>
      </w:r>
    </w:p>
    <w:p w:rsidR="00D202BC" w:rsidRPr="008C0F32" w:rsidRDefault="008C0F32">
      <w:pPr>
        <w:pBdr>
          <w:bottom w:val="single" w:sz="4" w:space="1" w:color="auto"/>
        </w:pBdr>
        <w:rPr>
          <w:rFonts w:ascii="Cambria" w:hAnsi="Cambria"/>
          <w:b/>
          <w:i/>
        </w:rPr>
      </w:pPr>
      <w:r w:rsidRPr="008C0F32">
        <w:rPr>
          <w:rFonts w:ascii="Cambria" w:hAnsi="Cambria"/>
          <w:b/>
          <w:i/>
        </w:rPr>
        <w:t xml:space="preserve">We request authorization to execute the local match agreement to provide the 20% </w:t>
      </w:r>
      <w:proofErr w:type="gramStart"/>
      <w:r w:rsidR="00D202BC" w:rsidRPr="008C0F32">
        <w:rPr>
          <w:rFonts w:ascii="Cambria" w:hAnsi="Cambria"/>
          <w:b/>
          <w:i/>
        </w:rPr>
        <w:t>local</w:t>
      </w:r>
      <w:proofErr w:type="gramEnd"/>
      <w:r w:rsidR="00D202BC" w:rsidRPr="008C0F32">
        <w:rPr>
          <w:rFonts w:ascii="Cambria" w:hAnsi="Cambria"/>
          <w:b/>
          <w:i/>
        </w:rPr>
        <w:t xml:space="preserve"> match, in the amount of $23,170</w:t>
      </w:r>
      <w:r w:rsidRPr="008C0F32">
        <w:rPr>
          <w:rFonts w:ascii="Cambria" w:hAnsi="Cambria"/>
          <w:b/>
          <w:i/>
        </w:rPr>
        <w:t>.</w:t>
      </w:r>
    </w:p>
    <w:p w:rsidR="00D202BC" w:rsidRDefault="00D202BC">
      <w:pPr>
        <w:pBdr>
          <w:bottom w:val="single" w:sz="4" w:space="1" w:color="auto"/>
        </w:pBdr>
        <w:rPr>
          <w:rFonts w:ascii="Cambria" w:hAnsi="Cambria"/>
        </w:rPr>
      </w:pPr>
    </w:p>
    <w:p w:rsidR="002D683B" w:rsidRPr="00784FD3" w:rsidRDefault="002D683B">
      <w:pPr>
        <w:pBdr>
          <w:bottom w:val="single" w:sz="4" w:space="1" w:color="auto"/>
        </w:pBdr>
        <w:rPr>
          <w:rFonts w:ascii="Cambria" w:hAnsi="Cambria"/>
        </w:rPr>
      </w:pPr>
    </w:p>
    <w:sectPr w:rsidR="002D683B" w:rsidRPr="00784FD3">
      <w:headerReference w:type="default" r:id="rId10"/>
      <w:type w:val="continuous"/>
      <w:pgSz w:w="12240" w:h="15840" w:code="1"/>
      <w:pgMar w:top="720" w:right="1260" w:bottom="720" w:left="162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3C" w:rsidRDefault="00A9173C">
      <w:r>
        <w:separator/>
      </w:r>
    </w:p>
  </w:endnote>
  <w:endnote w:type="continuationSeparator" w:id="0">
    <w:p w:rsidR="00A9173C" w:rsidRDefault="00A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nkGothic Lt BT">
    <w:panose1 w:val="020B0607020203060204"/>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3C" w:rsidRDefault="00A9173C">
      <w:r>
        <w:separator/>
      </w:r>
    </w:p>
  </w:footnote>
  <w:footnote w:type="continuationSeparator" w:id="0">
    <w:p w:rsidR="00A9173C" w:rsidRDefault="00A9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1" w:rsidRDefault="00453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1F"/>
    <w:multiLevelType w:val="hybridMultilevel"/>
    <w:tmpl w:val="E4FE8EB0"/>
    <w:lvl w:ilvl="0" w:tplc="43081B1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7370A5"/>
    <w:multiLevelType w:val="hybridMultilevel"/>
    <w:tmpl w:val="9990D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6E1FC7"/>
    <w:multiLevelType w:val="hybridMultilevel"/>
    <w:tmpl w:val="EA1CEF68"/>
    <w:lvl w:ilvl="0" w:tplc="B628A06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53C28DB"/>
    <w:multiLevelType w:val="hybridMultilevel"/>
    <w:tmpl w:val="77E05362"/>
    <w:lvl w:ilvl="0" w:tplc="C7F24070">
      <w:start w:val="1"/>
      <w:numFmt w:val="decimal"/>
      <w:lvlText w:val="%1."/>
      <w:lvlJc w:val="left"/>
      <w:pPr>
        <w:tabs>
          <w:tab w:val="num" w:pos="720"/>
        </w:tabs>
        <w:ind w:left="720" w:hanging="360"/>
      </w:pPr>
      <w:rPr>
        <w:rFonts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B006C2"/>
    <w:multiLevelType w:val="hybridMultilevel"/>
    <w:tmpl w:val="80AC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84B28"/>
    <w:multiLevelType w:val="hybridMultilevel"/>
    <w:tmpl w:val="1718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54FDA"/>
    <w:multiLevelType w:val="hybridMultilevel"/>
    <w:tmpl w:val="87F8A80A"/>
    <w:lvl w:ilvl="0" w:tplc="1FFA07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DC585E"/>
    <w:multiLevelType w:val="hybridMultilevel"/>
    <w:tmpl w:val="EA520C70"/>
    <w:lvl w:ilvl="0" w:tplc="9DDEC91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47526FA"/>
    <w:multiLevelType w:val="hybridMultilevel"/>
    <w:tmpl w:val="AE80D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2E45C2"/>
    <w:multiLevelType w:val="hybridMultilevel"/>
    <w:tmpl w:val="BD8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14EE2"/>
    <w:multiLevelType w:val="hybridMultilevel"/>
    <w:tmpl w:val="D41CE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0A1F27"/>
    <w:multiLevelType w:val="hybridMultilevel"/>
    <w:tmpl w:val="CF58FD56"/>
    <w:lvl w:ilvl="0" w:tplc="4D4243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F8D1E12"/>
    <w:multiLevelType w:val="hybridMultilevel"/>
    <w:tmpl w:val="10C4AF92"/>
    <w:lvl w:ilvl="0" w:tplc="D124DB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1"/>
  </w:num>
  <w:num w:numId="3">
    <w:abstractNumId w:val="6"/>
  </w:num>
  <w:num w:numId="4">
    <w:abstractNumId w:val="0"/>
  </w:num>
  <w:num w:numId="5">
    <w:abstractNumId w:val="2"/>
  </w:num>
  <w:num w:numId="6">
    <w:abstractNumId w:val="12"/>
  </w:num>
  <w:num w:numId="7">
    <w:abstractNumId w:val="7"/>
  </w:num>
  <w:num w:numId="8">
    <w:abstractNumId w:val="1"/>
  </w:num>
  <w:num w:numId="9">
    <w:abstractNumId w:val="8"/>
  </w:num>
  <w:num w:numId="10">
    <w:abstractNumId w:val="9"/>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3"/>
    <w:rsid w:val="001A753D"/>
    <w:rsid w:val="001B20C0"/>
    <w:rsid w:val="001C1879"/>
    <w:rsid w:val="00200A1E"/>
    <w:rsid w:val="00221C25"/>
    <w:rsid w:val="00254785"/>
    <w:rsid w:val="00254C35"/>
    <w:rsid w:val="00275754"/>
    <w:rsid w:val="002D683B"/>
    <w:rsid w:val="00367B83"/>
    <w:rsid w:val="00422899"/>
    <w:rsid w:val="00431D3E"/>
    <w:rsid w:val="00453111"/>
    <w:rsid w:val="00477902"/>
    <w:rsid w:val="00493510"/>
    <w:rsid w:val="004A0826"/>
    <w:rsid w:val="00531FAC"/>
    <w:rsid w:val="005374EF"/>
    <w:rsid w:val="005D468B"/>
    <w:rsid w:val="006B4A40"/>
    <w:rsid w:val="007060A1"/>
    <w:rsid w:val="007619BE"/>
    <w:rsid w:val="00784FD3"/>
    <w:rsid w:val="00874F1A"/>
    <w:rsid w:val="008C0F32"/>
    <w:rsid w:val="00944846"/>
    <w:rsid w:val="0094730A"/>
    <w:rsid w:val="009C2D19"/>
    <w:rsid w:val="009D60F9"/>
    <w:rsid w:val="009D7DA5"/>
    <w:rsid w:val="009E3124"/>
    <w:rsid w:val="00A501F4"/>
    <w:rsid w:val="00A52980"/>
    <w:rsid w:val="00A9173C"/>
    <w:rsid w:val="00B9574D"/>
    <w:rsid w:val="00BC47AE"/>
    <w:rsid w:val="00D13BA5"/>
    <w:rsid w:val="00D14B8F"/>
    <w:rsid w:val="00D202BC"/>
    <w:rsid w:val="00D31D9B"/>
    <w:rsid w:val="00D51528"/>
    <w:rsid w:val="00DB3EBA"/>
    <w:rsid w:val="00DE50AF"/>
    <w:rsid w:val="00E37A96"/>
    <w:rsid w:val="00EA25B5"/>
    <w:rsid w:val="00EE5669"/>
    <w:rsid w:val="00F74483"/>
    <w:rsid w:val="00FE762C"/>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eastAsia="Times New Roman" w:hAnsi="Times New Roman"/>
      <w:b/>
      <w:bCs/>
      <w:sz w:val="36"/>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080" w:hanging="360"/>
    </w:pPr>
  </w:style>
  <w:style w:type="paragraph" w:styleId="BodyText">
    <w:name w:val="Body Text"/>
    <w:basedOn w:val="Normal"/>
    <w:pPr>
      <w:autoSpaceDE w:val="0"/>
      <w:autoSpaceDN w:val="0"/>
      <w:adjustRightInd w:val="0"/>
      <w:jc w:val="both"/>
    </w:pPr>
    <w:rPr>
      <w:rFonts w:ascii="Times New Roman" w:eastAsia="Times New Roman" w:hAnsi="Times New Roman"/>
      <w:szCs w:val="24"/>
    </w:rPr>
  </w:style>
  <w:style w:type="paragraph" w:styleId="BodyText2">
    <w:name w:val="Body Text 2"/>
    <w:basedOn w:val="Normal"/>
    <w:pPr>
      <w:ind w:right="-360"/>
      <w:jc w:val="both"/>
    </w:pPr>
  </w:style>
  <w:style w:type="character" w:styleId="Hyperlink">
    <w:name w:val="Hyperlink"/>
    <w:rsid w:val="00E37A96"/>
    <w:rPr>
      <w:color w:val="0000FF"/>
      <w:u w:val="single"/>
    </w:rPr>
  </w:style>
  <w:style w:type="paragraph" w:styleId="BalloonText">
    <w:name w:val="Balloon Text"/>
    <w:basedOn w:val="Normal"/>
    <w:link w:val="BalloonTextChar"/>
    <w:rsid w:val="00D13BA5"/>
    <w:rPr>
      <w:rFonts w:ascii="Tahoma" w:hAnsi="Tahoma" w:cs="Tahoma"/>
      <w:sz w:val="16"/>
      <w:szCs w:val="16"/>
    </w:rPr>
  </w:style>
  <w:style w:type="character" w:customStyle="1" w:styleId="BalloonTextChar">
    <w:name w:val="Balloon Text Char"/>
    <w:basedOn w:val="DefaultParagraphFont"/>
    <w:link w:val="BalloonText"/>
    <w:rsid w:val="00D13BA5"/>
    <w:rPr>
      <w:rFonts w:ascii="Tahoma" w:hAnsi="Tahoma" w:cs="Tahoma"/>
      <w:sz w:val="16"/>
      <w:szCs w:val="16"/>
    </w:rPr>
  </w:style>
  <w:style w:type="paragraph" w:styleId="ListParagraph">
    <w:name w:val="List Paragraph"/>
    <w:basedOn w:val="Normal"/>
    <w:uiPriority w:val="34"/>
    <w:qFormat/>
    <w:rsid w:val="00D13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eastAsia="Times New Roman" w:hAnsi="Times New Roman"/>
      <w:b/>
      <w:bCs/>
      <w:sz w:val="36"/>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080" w:hanging="360"/>
    </w:pPr>
  </w:style>
  <w:style w:type="paragraph" w:styleId="BodyText">
    <w:name w:val="Body Text"/>
    <w:basedOn w:val="Normal"/>
    <w:pPr>
      <w:autoSpaceDE w:val="0"/>
      <w:autoSpaceDN w:val="0"/>
      <w:adjustRightInd w:val="0"/>
      <w:jc w:val="both"/>
    </w:pPr>
    <w:rPr>
      <w:rFonts w:ascii="Times New Roman" w:eastAsia="Times New Roman" w:hAnsi="Times New Roman"/>
      <w:szCs w:val="24"/>
    </w:rPr>
  </w:style>
  <w:style w:type="paragraph" w:styleId="BodyText2">
    <w:name w:val="Body Text 2"/>
    <w:basedOn w:val="Normal"/>
    <w:pPr>
      <w:ind w:right="-360"/>
      <w:jc w:val="both"/>
    </w:pPr>
  </w:style>
  <w:style w:type="character" w:styleId="Hyperlink">
    <w:name w:val="Hyperlink"/>
    <w:rsid w:val="00E37A96"/>
    <w:rPr>
      <w:color w:val="0000FF"/>
      <w:u w:val="single"/>
    </w:rPr>
  </w:style>
  <w:style w:type="paragraph" w:styleId="BalloonText">
    <w:name w:val="Balloon Text"/>
    <w:basedOn w:val="Normal"/>
    <w:link w:val="BalloonTextChar"/>
    <w:rsid w:val="00D13BA5"/>
    <w:rPr>
      <w:rFonts w:ascii="Tahoma" w:hAnsi="Tahoma" w:cs="Tahoma"/>
      <w:sz w:val="16"/>
      <w:szCs w:val="16"/>
    </w:rPr>
  </w:style>
  <w:style w:type="character" w:customStyle="1" w:styleId="BalloonTextChar">
    <w:name w:val="Balloon Text Char"/>
    <w:basedOn w:val="DefaultParagraphFont"/>
    <w:link w:val="BalloonText"/>
    <w:rsid w:val="00D13BA5"/>
    <w:rPr>
      <w:rFonts w:ascii="Tahoma" w:hAnsi="Tahoma" w:cs="Tahoma"/>
      <w:sz w:val="16"/>
      <w:szCs w:val="16"/>
    </w:rPr>
  </w:style>
  <w:style w:type="paragraph" w:styleId="ListParagraph">
    <w:name w:val="List Paragraph"/>
    <w:basedOn w:val="Normal"/>
    <w:uiPriority w:val="34"/>
    <w:qFormat/>
    <w:rsid w:val="00D1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w.ci.burlington.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XXXXXX Department/Division/Office</vt:lpstr>
    </vt:vector>
  </TitlesOfParts>
  <Company>BNL</Company>
  <LinksUpToDate>false</LinksUpToDate>
  <CharactersWithSpaces>3278</CharactersWithSpaces>
  <SharedDoc>false</SharedDoc>
  <HLinks>
    <vt:vector size="6" baseType="variant">
      <vt:variant>
        <vt:i4>3342393</vt:i4>
      </vt:variant>
      <vt:variant>
        <vt:i4>0</vt:i4>
      </vt:variant>
      <vt:variant>
        <vt:i4>0</vt:i4>
      </vt:variant>
      <vt:variant>
        <vt:i4>5</vt:i4>
      </vt:variant>
      <vt:variant>
        <vt:lpwstr>http://www.dpw.ci.burlington.vt.us/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Department/Division/Office</dc:title>
  <dc:subject/>
  <dc:creator>PA</dc:creator>
  <cp:keywords/>
  <cp:lastModifiedBy>Nicole Losch</cp:lastModifiedBy>
  <cp:revision>3</cp:revision>
  <cp:lastPrinted>2006-05-22T13:39:00Z</cp:lastPrinted>
  <dcterms:created xsi:type="dcterms:W3CDTF">2013-06-05T19:34:00Z</dcterms:created>
  <dcterms:modified xsi:type="dcterms:W3CDTF">2013-06-05T19:35:00Z</dcterms:modified>
</cp:coreProperties>
</file>